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9F" w:rsidRDefault="00577A1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E0A9F" w:rsidRDefault="00577A1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E0A9F" w:rsidRDefault="00577A1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E0A9F" w:rsidRDefault="00AE0A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E0A9F" w:rsidRDefault="00577A1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E0A9F" w:rsidRDefault="00AE0A9F">
      <w:pPr>
        <w:ind w:firstLine="0"/>
        <w:jc w:val="center"/>
        <w:rPr>
          <w:rFonts w:eastAsia="Times New Roman"/>
          <w:b/>
          <w:lang w:eastAsia="ru-RU"/>
        </w:rPr>
      </w:pPr>
    </w:p>
    <w:p w:rsidR="00AE0A9F" w:rsidRDefault="00577A1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17.09.2021г. № 1695</w:t>
      </w:r>
    </w:p>
    <w:p w:rsidR="00AE0A9F" w:rsidRDefault="00AE0A9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AE0A9F" w:rsidRDefault="00577A1E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утверждении Порядка проведения ежегодной оценки потребности в предоставлении муниципальных услуг (выполнении работ) в натуральном и стоимостном выражении и учета ее результатов при формировании расходной части бюджета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AE0A9F" w:rsidRDefault="00AE0A9F">
      <w:pPr>
        <w:ind w:firstLine="0"/>
        <w:jc w:val="center"/>
        <w:rPr>
          <w:b/>
          <w:szCs w:val="24"/>
        </w:rPr>
      </w:pPr>
    </w:p>
    <w:p w:rsidR="00AE0A9F" w:rsidRDefault="00577A1E">
      <w:pPr>
        <w:autoSpaceDE w:val="0"/>
        <w:adjustRightInd w:val="0"/>
        <w:spacing w:line="360" w:lineRule="auto"/>
        <w:ind w:firstLine="567"/>
        <w:outlineLvl w:val="1"/>
        <w:rPr>
          <w:b/>
          <w:bCs/>
          <w:szCs w:val="24"/>
        </w:rPr>
      </w:pPr>
      <w:proofErr w:type="gramStart"/>
      <w:r>
        <w:rPr>
          <w:szCs w:val="24"/>
        </w:rPr>
        <w:t xml:space="preserve">В целях определения приоритетных направлений для сбалансированного и эффективного распределения финансовых ресурсов по муниципальным услугам и обеспечения своевременного предоставления муниципальных услуг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и реализации Положения постановления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2C41F2">
        <w:rPr>
          <w:szCs w:val="24"/>
        </w:rPr>
        <w:t>от 13.11.2020 №1592</w:t>
      </w:r>
      <w:r>
        <w:rPr>
          <w:szCs w:val="24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и</w:t>
      </w:r>
      <w:proofErr w:type="gramEnd"/>
      <w:r>
        <w:rPr>
          <w:szCs w:val="24"/>
        </w:rPr>
        <w:t xml:space="preserve"> финансовом обеспечении выполнения муниципального задания»,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bCs/>
          <w:szCs w:val="24"/>
        </w:rPr>
        <w:t>п</w:t>
      </w:r>
      <w:proofErr w:type="gramEnd"/>
      <w:r>
        <w:rPr>
          <w:b/>
          <w:bCs/>
          <w:szCs w:val="24"/>
        </w:rPr>
        <w:t xml:space="preserve"> о с т а н о в л я е т:</w:t>
      </w:r>
    </w:p>
    <w:p w:rsidR="00AE0A9F" w:rsidRDefault="00577A1E">
      <w:pPr>
        <w:spacing w:line="360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1. Утвердить </w:t>
      </w:r>
      <w:r>
        <w:rPr>
          <w:szCs w:val="24"/>
        </w:rPr>
        <w:t xml:space="preserve">Порядок проведения ежегодной оценки потребности в предоставлении муниципальных услуг (выполнении работ) в натуральном и стоимостном выражении и учета ее результатов при формировании расходной части бюджета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(далее – Порядок)</w:t>
      </w:r>
      <w:r>
        <w:rPr>
          <w:bCs/>
          <w:szCs w:val="24"/>
        </w:rPr>
        <w:t>.</w:t>
      </w:r>
    </w:p>
    <w:p w:rsidR="00AE0A9F" w:rsidRDefault="00577A1E">
      <w:pPr>
        <w:spacing w:line="360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2. Отменить постановление администрации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района Нижегородской области </w:t>
      </w:r>
      <w:r w:rsidRPr="002C41F2">
        <w:rPr>
          <w:bCs/>
          <w:szCs w:val="24"/>
        </w:rPr>
        <w:t>от 29.04.2011 №137</w:t>
      </w:r>
      <w:r>
        <w:rPr>
          <w:bCs/>
          <w:szCs w:val="24"/>
        </w:rPr>
        <w:t xml:space="preserve"> "Об утверждении порядка проведения ежегодной оценки потребности в предоставлении муниципальных услуг в натуральном и стоимостном выражении и учета ее результатов при формировании расходной части бюджета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района».</w:t>
      </w:r>
    </w:p>
    <w:p w:rsidR="00AE0A9F" w:rsidRDefault="00577A1E">
      <w:pPr>
        <w:spacing w:line="360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3. </w:t>
      </w:r>
      <w:proofErr w:type="gramStart"/>
      <w:r>
        <w:rPr>
          <w:bCs/>
          <w:szCs w:val="24"/>
        </w:rPr>
        <w:t xml:space="preserve">Структурным подразделениям администрации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области, курирующим направление деятельности муниципальных бюджетных и муниципальных автономных учреждений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своевременно осуществлять планирование объемов потребности в предоставлении муниципальных услуг (выполнении работ) в натуральном выражении, а также проведение </w:t>
      </w:r>
      <w:r>
        <w:rPr>
          <w:bCs/>
          <w:szCs w:val="24"/>
        </w:rPr>
        <w:lastRenderedPageBreak/>
        <w:t>оценки их стоимости на предстоящий финансовый год и плановый период по форме согласно приложению к Порядку.</w:t>
      </w:r>
      <w:proofErr w:type="gramEnd"/>
    </w:p>
    <w:p w:rsidR="00AE0A9F" w:rsidRDefault="00577A1E">
      <w:pPr>
        <w:spacing w:line="360" w:lineRule="auto"/>
        <w:ind w:firstLine="567"/>
        <w:rPr>
          <w:bCs/>
          <w:szCs w:val="24"/>
        </w:rPr>
      </w:pPr>
      <w:r>
        <w:rPr>
          <w:bCs/>
          <w:szCs w:val="24"/>
        </w:rPr>
        <w:t xml:space="preserve">4. Финансовому управлению администрации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 обеспечить учет результатов ежегодной оценки потребности в предоставлении муниципальных услуг (выполнении работ) при формировании расходной части бюджета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 на каждый предстоящий финансовый год и плановый период.</w:t>
      </w:r>
    </w:p>
    <w:p w:rsidR="00AE0A9F" w:rsidRDefault="00577A1E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 Отделу организационно-протокольной работы администрации (</w:t>
      </w:r>
      <w:proofErr w:type="spellStart"/>
      <w:r>
        <w:rPr>
          <w:rFonts w:eastAsia="Times New Roman"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Н.П.) обеспечить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AE0A9F" w:rsidRDefault="00577A1E">
      <w:pPr>
        <w:spacing w:line="360" w:lineRule="auto"/>
        <w:ind w:firstLine="567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6. Настоящее постановление вступает в силу с момента его официального опубликования.</w:t>
      </w:r>
    </w:p>
    <w:p w:rsidR="00AE0A9F" w:rsidRDefault="00577A1E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7.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по социальным вопросам (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 xml:space="preserve"> Ж.А.). </w:t>
      </w:r>
    </w:p>
    <w:p w:rsidR="00AE0A9F" w:rsidRDefault="00AE0A9F">
      <w:pPr>
        <w:spacing w:line="360" w:lineRule="auto"/>
        <w:ind w:firstLine="567"/>
        <w:rPr>
          <w:szCs w:val="24"/>
        </w:rPr>
      </w:pPr>
    </w:p>
    <w:p w:rsidR="00AE0A9F" w:rsidRDefault="00AE0A9F">
      <w:pPr>
        <w:spacing w:line="360" w:lineRule="auto"/>
        <w:ind w:firstLine="567"/>
        <w:rPr>
          <w:szCs w:val="24"/>
        </w:rPr>
      </w:pPr>
    </w:p>
    <w:p w:rsidR="00AE0A9F" w:rsidRDefault="00577A1E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Глава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proofErr w:type="spellStart"/>
      <w:r>
        <w:rPr>
          <w:szCs w:val="24"/>
        </w:rPr>
        <w:t>А.Н.Галкин</w:t>
      </w:r>
      <w:proofErr w:type="spellEnd"/>
    </w:p>
    <w:p w:rsidR="00AE0A9F" w:rsidRDefault="00AE0A9F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AE0A9F" w:rsidRDefault="00AE0A9F">
      <w:pPr>
        <w:ind w:firstLine="0"/>
        <w:jc w:val="center"/>
        <w:rPr>
          <w:rFonts w:eastAsia="Times New Roman"/>
          <w:lang w:eastAsia="ru-RU"/>
        </w:rPr>
      </w:pPr>
    </w:p>
    <w:p w:rsidR="00AE0A9F" w:rsidRDefault="00AE0A9F">
      <w:pPr>
        <w:autoSpaceDN/>
        <w:ind w:firstLine="0"/>
        <w:jc w:val="left"/>
        <w:rPr>
          <w:rFonts w:eastAsia="Times New Roman"/>
          <w:lang w:eastAsia="ru-RU"/>
        </w:rPr>
        <w:sectPr w:rsidR="00AE0A9F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AE0A9F" w:rsidRDefault="00577A1E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УТВЕРЖДЕН</w:t>
      </w:r>
    </w:p>
    <w:p w:rsidR="00AE0A9F" w:rsidRDefault="00577A1E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 постановлением администрации</w:t>
      </w:r>
    </w:p>
    <w:p w:rsidR="00AE0A9F" w:rsidRDefault="00577A1E">
      <w:pPr>
        <w:ind w:firstLine="0"/>
        <w:jc w:val="right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</w:t>
      </w:r>
    </w:p>
    <w:p w:rsidR="00AE0A9F" w:rsidRDefault="00577A1E">
      <w:pPr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>Нижегородской области</w:t>
      </w:r>
    </w:p>
    <w:p w:rsidR="00AE0A9F" w:rsidRDefault="00577A1E">
      <w:pPr>
        <w:ind w:firstLine="0"/>
        <w:jc w:val="right"/>
        <w:rPr>
          <w:color w:val="000000"/>
          <w:szCs w:val="24"/>
          <w:u w:val="single"/>
        </w:rPr>
      </w:pPr>
      <w:r>
        <w:rPr>
          <w:color w:val="000000"/>
          <w:szCs w:val="24"/>
        </w:rPr>
        <w:t>от 17.09.2021 № 1695</w:t>
      </w: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:rsidR="00AE0A9F" w:rsidRDefault="00AE0A9F">
      <w:pPr>
        <w:widowControl w:val="0"/>
        <w:autoSpaceDE w:val="0"/>
        <w:ind w:firstLine="0"/>
        <w:jc w:val="right"/>
        <w:rPr>
          <w:rFonts w:eastAsia="Times New Roman"/>
          <w:color w:val="000000"/>
          <w:szCs w:val="24"/>
          <w:lang w:eastAsia="ru-RU"/>
        </w:rPr>
      </w:pPr>
    </w:p>
    <w:p w:rsidR="00AE0A9F" w:rsidRDefault="00577A1E">
      <w:pPr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ПОРЯДОК</w:t>
      </w:r>
    </w:p>
    <w:p w:rsidR="00AE0A9F" w:rsidRDefault="00577A1E">
      <w:pPr>
        <w:spacing w:after="16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проведения ежегодной оценки потребности в предоставлении муниципальных услуг (выполнении работ) в натуральном и стоимостном выражении и учета ее результатов при формировании расходной части бюджета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</w:t>
      </w:r>
    </w:p>
    <w:p w:rsidR="00AE0A9F" w:rsidRDefault="00AE0A9F">
      <w:pPr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AE0A9F" w:rsidRDefault="00577A1E">
      <w:pPr>
        <w:widowControl w:val="0"/>
        <w:numPr>
          <w:ilvl w:val="0"/>
          <w:numId w:val="5"/>
        </w:numPr>
        <w:autoSpaceDE w:val="0"/>
        <w:spacing w:after="160" w:line="256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Общие положения</w:t>
      </w:r>
    </w:p>
    <w:p w:rsidR="00AE0A9F" w:rsidRDefault="00AE0A9F">
      <w:pPr>
        <w:widowControl w:val="0"/>
        <w:autoSpaceDE w:val="0"/>
        <w:ind w:firstLine="567"/>
        <w:jc w:val="left"/>
        <w:outlineLvl w:val="1"/>
        <w:rPr>
          <w:rFonts w:eastAsia="Times New Roman"/>
          <w:b/>
          <w:szCs w:val="24"/>
          <w:lang w:eastAsia="ru-RU"/>
        </w:rPr>
      </w:pP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</w:t>
      </w:r>
      <w:proofErr w:type="gramStart"/>
      <w:r>
        <w:rPr>
          <w:rFonts w:eastAsia="Times New Roman"/>
          <w:szCs w:val="24"/>
          <w:lang w:eastAsia="ru-RU"/>
        </w:rPr>
        <w:t xml:space="preserve">Настоящий Порядок проведения ежегодной оценки потребности в предоставлении муниципальных услуг (выполнении работ) в натуральном и стоимостном выражении и учета ее результатов при формировании расходной части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- Порядок) разработан в целях создания системы учета потребности в предоставлении муниципальных услуг (выполнении работ), являющейся важнейшим элементом планирования расходной части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и направленной на повышение</w:t>
      </w:r>
      <w:proofErr w:type="gramEnd"/>
      <w:r>
        <w:rPr>
          <w:rFonts w:eastAsia="Times New Roman"/>
          <w:szCs w:val="24"/>
          <w:lang w:eastAsia="ru-RU"/>
        </w:rPr>
        <w:t xml:space="preserve"> качества планирования бюджетных расходов, внедрение результативного бюджетного планирования.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</w:t>
      </w:r>
      <w:proofErr w:type="gramStart"/>
      <w:r>
        <w:rPr>
          <w:rFonts w:eastAsia="Times New Roman"/>
          <w:szCs w:val="24"/>
          <w:lang w:eastAsia="ru-RU"/>
        </w:rPr>
        <w:t xml:space="preserve">Ежегодная оценка потребности в предоставлении муниципальных услуг (выполнении работ) в натуральном и стоимостном выражении (далее – оценка потребности) и учет ее результатов при формировании расходной части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проводится на систематической основе и является одним из этапов разработки проекта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очередной финансовый год и плановый период.</w:t>
      </w:r>
      <w:proofErr w:type="gramEnd"/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Оценка потребности осуществляется в целях: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- обеспечения учета потребности в предоставлении муниципальных услуг (выполнении работ) в рамках бюджетного процесса на этапе разработки прогноза социально-экономического развития и проекта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очередной финансовый год и плановый период;</w:t>
      </w:r>
      <w:proofErr w:type="gramEnd"/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формирования информационной базы для принятия решений о направлениях и способах оптимизации бюджетных расходов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определения приоритетных направлений для сбалансированного и эффективного распределения финансовых ресурсов по муниципальным услугам (работам);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обеспечения своевременного предоставления муниципальных услуг (выполнения работ) в необходимых объемах;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обеспечения своевременной и полной оплаты предоставленных муниципальных услуг (работ), если такая оплата должна быть произведена за счет средств бюджета округа;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формирования конкурентной среды в сфере предоставления муниципальных услуг (выполнения работ).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Оценка потребности позволит обеспечить эффективность использования бюджетных средств исходя из интересов населения и юридических лиц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E0A9F" w:rsidRDefault="00AE0A9F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AE0A9F" w:rsidRDefault="00577A1E">
      <w:pPr>
        <w:widowControl w:val="0"/>
        <w:autoSpaceDE w:val="0"/>
        <w:ind w:firstLine="567"/>
        <w:jc w:val="center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Объекты оценки потребности</w:t>
      </w:r>
    </w:p>
    <w:p w:rsidR="00AE0A9F" w:rsidRDefault="00AE0A9F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 </w:t>
      </w:r>
      <w:proofErr w:type="gramStart"/>
      <w:r>
        <w:rPr>
          <w:rFonts w:eastAsia="Times New Roman"/>
          <w:szCs w:val="24"/>
          <w:lang w:eastAsia="ru-RU"/>
        </w:rPr>
        <w:t xml:space="preserve">Оценке потребности в предоставлении подлежат муниципальные услуги (работы), оказываемые населению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включенные в Общероссийский базовый (отраслевой) перечень (классификатор) государственных и муниципальных услуг и работ, оказываемых физическим лицам, или региональный перечень (классификатор) муниципальных услуг и работ, оказываемых и выполняемых муниципальными учреждениями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- Общероссийский базовый (отраслевой) перечень (классификатор) муниципальных услуг, оказываемых физическим</w:t>
      </w:r>
      <w:proofErr w:type="gramEnd"/>
      <w:r>
        <w:rPr>
          <w:rFonts w:eastAsia="Times New Roman"/>
          <w:szCs w:val="24"/>
          <w:lang w:eastAsia="ru-RU"/>
        </w:rPr>
        <w:t xml:space="preserve"> лицам, или региональный перечень (классификатор) муниципальных услуг и работ).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 Оценка потребности производится в натуральных и стоимостных показателях. Натуральные показатели оценки определяются в отношении каждой муниципальной услуги (работы), по которой осуществляется оценка потребности. </w:t>
      </w:r>
      <w:proofErr w:type="gramStart"/>
      <w:r>
        <w:rPr>
          <w:rFonts w:eastAsia="Times New Roman"/>
          <w:szCs w:val="24"/>
          <w:lang w:eastAsia="ru-RU"/>
        </w:rPr>
        <w:t>Единицы измерения объема натуральных показателей муниципальных услуг (работ) определяются Общероссийским базовым (отраслевым) перечнем (классификатором) муниципальных услуг, оказываемых физическим лицам, или региональным перечнем (классификатором) муниципальных услуг и работ.</w:t>
      </w:r>
      <w:proofErr w:type="gramEnd"/>
      <w:r>
        <w:rPr>
          <w:rFonts w:eastAsia="Times New Roman"/>
          <w:szCs w:val="24"/>
          <w:lang w:eastAsia="ru-RU"/>
        </w:rPr>
        <w:t xml:space="preserve"> Стоимостные показатели оценки определяются в рублях и копейках в расчете на каждую натуральную единицу (или 10, 100, 1000 единиц) измерения объема предоставляемых муниципальных услуг (работ).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Прогнозные показатели для определения потребности в предоставлении муниципальных услуг (выполнении работ) в натуральном и стоимостном выражении должны определяться структурными подразделениями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ответственными за организацию предоставления соответствующих муниципальных услуг (работ).</w:t>
      </w:r>
    </w:p>
    <w:p w:rsidR="00AE0A9F" w:rsidRDefault="00AE0A9F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AE0A9F" w:rsidRDefault="00577A1E">
      <w:pPr>
        <w:widowControl w:val="0"/>
        <w:autoSpaceDE w:val="0"/>
        <w:ind w:firstLine="567"/>
        <w:jc w:val="center"/>
        <w:outlineLvl w:val="1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III. Порядок проведения оценки потребности</w:t>
      </w:r>
    </w:p>
    <w:p w:rsidR="00AE0A9F" w:rsidRDefault="00AE0A9F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Порядок проведения ежегодной оценки потребности в предоставлении муниципальных услуг (выполнении работ) предусматривает: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проведение анализа действующих нормативных правовых актов, которые оказывают влияние на условия предоставления муниципальных услуг (выполнение работ);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проведение анализа объемов и стоимости предоставления муниципальных услуг (выполнения работ) за отчетный финансовый год и предшествующие ему три финансовых года;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изучение общественного мнения по вопросам предоставления муниципальных услуг (выполнения работ), проведение опросов и анкетирование учреждениями, оказывающими муниципальные услуги (выполняющими работы);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иные мероприятия в рамках оценки потребности в предоставлении муниципальных услуг (выполнении работ) в соответствии с настоящим Порядком и иными муниципальными правовыми актами. </w:t>
      </w:r>
      <w:r>
        <w:rPr>
          <w:rFonts w:eastAsia="Times New Roman"/>
          <w:szCs w:val="24"/>
          <w:lang w:eastAsia="ru-RU"/>
        </w:rPr>
        <w:tab/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Исходными данными для проведения оценки потребности в предоставлении муниципальных услуг (выполнении работ) являются натуральные и стоимостные показатели объема предоставления муниципальных услуг (выполнение работ):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фактические и прогнозные данные о контингенте получателей муниципальных услуг (работ);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фактические и прогнозные данные об объемах муниципальных услуг (работ) в натуральном выражении;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фактические данные об общей сумме оплаченных муниципальных услуг (работ) и структуре себестоимости муниципальных услуг (работ);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- прогноз изменения структуры себестоимости расходов на предоставление муниципальных услуг (выполнение работ) в зависимости от удорожания (удешевления) отдельных составляющих стоимости муниципальной услуги (работы);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фактические затраты на уплату налогов, в качестве объекта налогообложения, по которым признается имущество учреждения;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прогнозы темпов роста (сокращения) отдельных элементов нормативных затрат на оказание муниципальных услуг (выполнение работ);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утвержденные значения нормативных затрат на оказание муниципальных услуг (выполнение работ) структурными подразделениями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3.3. Натуральные показатели оценки определяются в отношении каждой муниципальной услуги (работы), по которой осуществляется оценка потребности. </w:t>
      </w:r>
      <w:proofErr w:type="gramStart"/>
      <w:r>
        <w:rPr>
          <w:rFonts w:eastAsia="Times New Roman"/>
          <w:szCs w:val="24"/>
          <w:lang w:eastAsia="ru-RU"/>
        </w:rPr>
        <w:t>Единицы измерения объема натуральных показателей муниципальных услуг (работ) определяются Общероссийским базовым (отраслевым) перечнем (классификатором) муниципальных услуг, оказываемых физическим лицам, или региональным перечнем (классификатором) муниципальных услуг и работ.</w:t>
      </w:r>
      <w:proofErr w:type="gramEnd"/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Стоимостные показатели оценки определяются в рублях и копейках в расчете на каждую натуральную единицу (или 10, 100, 1000 единиц) измерения объема предоставляемых муниципальных услуг (работ).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3.5. В качестве фактических данных об объемах предоставленных муниципальных услуг (работ) используются данные отчетов о выполнении плана по сети, штатам и контингентам учреждений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отраслевых форм статистической и оперативной отчетности, имеющихся в наличии у муниципальных учреждений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округа. В случае отсутствия информации об объемах предоставленных муниципальных услуг (работ), необходимые данные запрашиваются в организациях, учреждениях, предоставляющих данные услуги (выполняющих работы), или определяются экспертным путем.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3.6. Фактические данные о нормативных затратах на оказание муниципальных услуг (выполнение работ) и элементах нормативных затрат на оказание муниципальных услуг (выполнение работ) формируются на основе существующей финансовой отчетности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3.7. Оценка потребности в предоставлении муниципальных услуг (выполнении работ) осуществляется ежегодно на очередной финансовый год и плановый период.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3.8. Показатели оценки потребности в предоставлении муниципальных услуг (выполнении работ) на очередной финансовый год и плановый период используются в качестве основы при разработке проекта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очередной финансовый год и плановый период.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3.9. Показатели оценки потребности в предоставлении муниципальных услуг (выполнении работ) носят индикативный характер и могут быть изменены при разработке и утверждении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очередной финансовый год и плановый период.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3.10. Проведение оценки потребности в предоставлении муниципальных услуг (выполнении работ) в стоимостном выражении осуществляется: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 на основе результатов оценки потребности в предоставлении муниципальных услуг (выполнении работ) в натуральном выражении;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 прогноза изменения структуры издержек на предоставление муниципальных услуг (выполнение работ) в зависимости от удорожания (удешевления):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отдельных элементов структуры нормативных затрат по каждой муниципальной услуге (работе);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затрат на уплату налогов, в качестве объекта налогообложения, по которым признается имущество учреждения;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- размера платы за оказание муниципальной услуги (выполнение работы).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3.11. Прогнозная оценка потребности в предоставлении конкретной муниципальной услуги (работы) в стоимостном выражении основывается на расчете объема финансовых средств, необходимых для предоставления конкретной муниципальной услуги (работы). Объем финансовых средств, необходимых для предоставления конкретной муниципальной услуги (работы), определяется исходя из расчета: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нормативных затрат на оказание муниципальной услуги (выполнение работы);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затрат на уплату налогов, в качестве объекта налогообложения, по которым признается имущество учреждения;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размера платы за оказание муниципальной услуги (выполнение работы) и основывается на расчете объема финансовых средств, необходимых для ее предоставления;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объема муниципальных услуг (работ) в натуральном выражении.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3.12. Результаты оценки потребности обобщаются структурными подразделениями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по форме согласно </w:t>
      </w:r>
      <w:r w:rsidRPr="002C41F2">
        <w:rPr>
          <w:rFonts w:eastAsia="Times New Roman"/>
          <w:szCs w:val="24"/>
          <w:lang w:eastAsia="ru-RU"/>
        </w:rPr>
        <w:t>приложению N 1</w:t>
      </w:r>
      <w:r>
        <w:rPr>
          <w:rFonts w:eastAsia="Times New Roman"/>
          <w:szCs w:val="24"/>
          <w:lang w:eastAsia="ru-RU"/>
        </w:rPr>
        <w:t xml:space="preserve"> к настоящему Порядку. 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3.13. Финансовое управление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финансовое управление) осуществляет общий мониторинг, рассмотрение и учет результатов оценки потребности в предоставлении муниципальных услуг (выполнении работ) в натуральном и стоимостном выражении.</w:t>
      </w:r>
    </w:p>
    <w:p w:rsidR="00AE0A9F" w:rsidRDefault="00577A1E">
      <w:pPr>
        <w:widowControl w:val="0"/>
        <w:autoSpaceDE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3.14. В сроки, определенные финансовым управлением, структурные подразделения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направляют в финансовое управление результаты проведенной оценки потребности отдельно по каждой муниципальной услуге (работе). В составе сопроводительной документации должны присутствовать необходимые пояснения и обоснования проведенной оценки. В ходе рассмотрения финансовым управлением результатов оценки потребности в предоставлении муниципальных услуг (выполнении работ) отдельные показатели могут уточняться. При необходимости структурные подразделения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представляют дополнительные обоснования результатов оценки потребности в предоставлении муниципальных услуг (выполнении работ).</w:t>
      </w:r>
    </w:p>
    <w:p w:rsidR="00AE0A9F" w:rsidRDefault="00AE0A9F">
      <w:pPr>
        <w:widowControl w:val="0"/>
        <w:autoSpaceDE w:val="0"/>
        <w:ind w:firstLine="540"/>
        <w:rPr>
          <w:rFonts w:eastAsia="Times New Roman"/>
          <w:szCs w:val="24"/>
          <w:lang w:eastAsia="ru-RU"/>
        </w:rPr>
      </w:pPr>
    </w:p>
    <w:p w:rsidR="00AE0A9F" w:rsidRDefault="00AE0A9F">
      <w:pPr>
        <w:autoSpaceDN/>
        <w:ind w:firstLine="0"/>
        <w:jc w:val="left"/>
        <w:rPr>
          <w:rFonts w:eastAsia="Times New Roman"/>
          <w:bCs/>
          <w:color w:val="000000"/>
          <w:sz w:val="28"/>
          <w:szCs w:val="28"/>
          <w:lang w:eastAsia="ru-RU"/>
        </w:rPr>
        <w:sectPr w:rsidR="00AE0A9F">
          <w:head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AE0A9F" w:rsidRDefault="00577A1E">
      <w:pPr>
        <w:widowControl w:val="0"/>
        <w:tabs>
          <w:tab w:val="left" w:pos="10348"/>
        </w:tabs>
        <w:autoSpaceDE w:val="0"/>
        <w:ind w:left="1049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</w:t>
      </w:r>
      <w:r>
        <w:rPr>
          <w:rFonts w:eastAsia="Times New Roman"/>
          <w:szCs w:val="24"/>
          <w:lang w:eastAsia="ru-RU"/>
        </w:rPr>
        <w:t>ПРИЛОЖЕНИЕ 1</w:t>
      </w:r>
    </w:p>
    <w:p w:rsidR="00AE0A9F" w:rsidRDefault="00577A1E">
      <w:pPr>
        <w:widowControl w:val="0"/>
        <w:tabs>
          <w:tab w:val="left" w:pos="10348"/>
        </w:tabs>
        <w:autoSpaceDE w:val="0"/>
        <w:ind w:left="1049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Порядку проведения ежегодной оценки потребности в предоставлении муниципальных услуг (выполнении работ) в натуральном и стоимостном выражении и учета ее результатов при формировании расходной части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:rsidR="00AE0A9F" w:rsidRDefault="00577A1E">
      <w:pPr>
        <w:widowControl w:val="0"/>
        <w:autoSpaceDE w:val="0"/>
        <w:ind w:firstLine="0"/>
        <w:jc w:val="center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ТАБЛИЦА 1. ОЦЕНКА ПОТРЕБНОСТИ В ПРЕДОСТАВЛЕНИИ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МУНИЦИПАЛЬНЫХ УСЛУГ (ВЫПОЛНЕНИИ РАБОТ)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НАТУРАЛЬНОМ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ВЫРАЖЕНИИ</w:t>
      </w:r>
      <w:proofErr w:type="gramEnd"/>
      <w:r>
        <w:rPr>
          <w:rFonts w:eastAsia="Times New Roman"/>
          <w:szCs w:val="24"/>
          <w:lang w:eastAsia="ru-RU"/>
        </w:rPr>
        <w:t xml:space="preserve"> НА ОЧЕРЕДНОЙ ФИНАНСОВЫЙ ГОД И ПЛАНОВЫЙ ПЕРИОД</w:t>
      </w: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9"/>
        <w:gridCol w:w="2126"/>
        <w:gridCol w:w="1701"/>
        <w:gridCol w:w="1701"/>
        <w:gridCol w:w="1701"/>
        <w:gridCol w:w="1417"/>
        <w:gridCol w:w="1560"/>
      </w:tblGrid>
      <w:tr w:rsidR="00AE0A9F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Наименование муниципальной услуги (работы) (в соответствии с утвержденным Общероссийским базовым (отраслевым) перечнем (классификатором) муниципальных услуг, оказываемых физическим лицам, или региональным перечнем (классификатором) муниципальных услуг и работ)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Единица измерения муниципальной услуги (работы)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Оценка по годам:</w:t>
            </w:r>
          </w:p>
        </w:tc>
      </w:tr>
      <w:tr w:rsidR="00AE0A9F"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9F" w:rsidRDefault="00AE0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9F" w:rsidRDefault="00AE0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2-й год планового периода</w:t>
            </w:r>
          </w:p>
        </w:tc>
      </w:tr>
      <w:tr w:rsidR="00AE0A9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AE0A9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E0A9F" w:rsidRDefault="00AE0A9F">
      <w:pPr>
        <w:autoSpaceDN/>
        <w:ind w:firstLine="0"/>
        <w:jc w:val="left"/>
        <w:rPr>
          <w:rFonts w:eastAsia="Times New Roman"/>
          <w:sz w:val="26"/>
          <w:szCs w:val="26"/>
          <w:lang w:eastAsia="ru-RU"/>
        </w:rPr>
        <w:sectPr w:rsidR="00AE0A9F">
          <w:pgSz w:w="16838" w:h="11906" w:orient="landscape"/>
          <w:pgMar w:top="851" w:right="1134" w:bottom="1701" w:left="1134" w:header="709" w:footer="709" w:gutter="0"/>
          <w:cols w:space="720"/>
          <w:titlePg/>
        </w:sectPr>
      </w:pPr>
    </w:p>
    <w:p w:rsidR="00AE0A9F" w:rsidRDefault="00577A1E">
      <w:pPr>
        <w:widowControl w:val="0"/>
        <w:autoSpaceDE w:val="0"/>
        <w:ind w:firstLine="0"/>
        <w:jc w:val="center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ТАБЛИЦА 2. ОЦЕНКА ПОТРЕБНОСТИ В ПРЕДОСТАВЛЕНИИ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МУНИЦИПАЛЬНЫХ УСЛУГ (ВЫПОЛНЕНИИ РАБОТ)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СТОИМОСТНОМ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ВЫРАЖЕНИИ</w:t>
      </w:r>
      <w:proofErr w:type="gramEnd"/>
      <w:r>
        <w:rPr>
          <w:rFonts w:eastAsia="Times New Roman"/>
          <w:szCs w:val="24"/>
          <w:lang w:eastAsia="ru-RU"/>
        </w:rPr>
        <w:t xml:space="preserve"> НА ОЧЕРЕДНОЙ ФИНАНСОВЫЙ ГОД И ПЛАНОВЫЙ ПЕРИОД</w:t>
      </w: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</w:p>
    <w:p w:rsidR="00AE0A9F" w:rsidRDefault="00577A1E">
      <w:pPr>
        <w:widowControl w:val="0"/>
        <w:autoSpaceDE w:val="0"/>
        <w:ind w:firstLine="0"/>
        <w:jc w:val="center"/>
        <w:outlineLvl w:val="3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Оценка потребности в предоставлении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муниципальных услуг (выполнении работ)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стоимостном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выражении</w:t>
      </w:r>
      <w:proofErr w:type="gramEnd"/>
      <w:r>
        <w:rPr>
          <w:rFonts w:eastAsia="Times New Roman"/>
          <w:szCs w:val="24"/>
          <w:lang w:eastAsia="ru-RU"/>
        </w:rPr>
        <w:t xml:space="preserve"> на очередной финансовый год</w:t>
      </w: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2"/>
        <w:gridCol w:w="995"/>
        <w:gridCol w:w="15"/>
        <w:gridCol w:w="836"/>
        <w:gridCol w:w="14"/>
        <w:gridCol w:w="837"/>
        <w:gridCol w:w="14"/>
        <w:gridCol w:w="834"/>
        <w:gridCol w:w="14"/>
        <w:gridCol w:w="869"/>
        <w:gridCol w:w="14"/>
        <w:gridCol w:w="779"/>
        <w:gridCol w:w="14"/>
        <w:gridCol w:w="1005"/>
        <w:gridCol w:w="832"/>
        <w:gridCol w:w="952"/>
        <w:gridCol w:w="1051"/>
        <w:gridCol w:w="992"/>
        <w:gridCol w:w="993"/>
        <w:gridCol w:w="1133"/>
        <w:gridCol w:w="1275"/>
        <w:gridCol w:w="51"/>
        <w:gridCol w:w="9"/>
      </w:tblGrid>
      <w:tr w:rsidR="00AE0A9F">
        <w:trPr>
          <w:gridAfter w:val="2"/>
          <w:wAfter w:w="59" w:type="dxa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Затраты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Текущий финансовый год</w:t>
            </w:r>
          </w:p>
        </w:tc>
        <w:tc>
          <w:tcPr>
            <w:tcW w:w="8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Очередной финансовый год</w:t>
            </w:r>
          </w:p>
        </w:tc>
      </w:tr>
      <w:tr w:rsidR="00AE0A9F">
        <w:trPr>
          <w:gridAfter w:val="1"/>
          <w:wAfter w:w="9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9F" w:rsidRDefault="00AE0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53" w:right="-6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Бюджет-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ассигнова-ния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(рублей)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6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муници-пальной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55" w:right="-6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Стои-мость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(гр. 2 / гр. 3) (рублей)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59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Бюджет-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ассигно-вания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(рублей)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64" w:right="-3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муници-пальной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98" w:right="-9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Стои-мость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(гр. 5 / гр. 6) (рублей)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Базовый норматив затрат (рублей)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54" w:right="-7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Террито-риальный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коррек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-тирую-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щий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коэффи-циент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4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Отрасле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-вой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корректи-рующий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коэффи-циент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138" w:right="-5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Норматив-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затраты (гр. 8 x гр. 9 x гр. 10)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6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муници-пальной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 (гр. 11 x гр. 12) (рублей)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доходов от оказания муниципальных услуг, относящихся к основным видам деятельности (рублей)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выполнения муниципального задания за счет средств бюджета (гр. 13 - гр. 14) (рублей)</w:t>
            </w: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</w:tr>
      <w:tr w:rsidR="00AE0A9F">
        <w:tc>
          <w:tcPr>
            <w:tcW w:w="15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услуги (работы)</w:t>
            </w: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Непосредственно связанные с оказанием муниципальной услуги (выполнением работ)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статья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2. На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общехозяйствен-ные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нужды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 нормативные затраты на оказание муниципальной услуги (выполнение работ)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 На уплату налогов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9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E0A9F">
        <w:trPr>
          <w:gridAfter w:val="1"/>
          <w:wAfter w:w="8" w:type="dxa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 (п. 1 + п. 2 + п. 3)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</w:p>
    <w:p w:rsidR="00AE0A9F" w:rsidRDefault="00AE0A9F">
      <w:pPr>
        <w:autoSpaceDN/>
        <w:ind w:firstLine="0"/>
        <w:jc w:val="left"/>
        <w:rPr>
          <w:rFonts w:eastAsia="Times New Roman"/>
          <w:sz w:val="26"/>
          <w:szCs w:val="26"/>
          <w:lang w:eastAsia="ru-RU"/>
        </w:rPr>
        <w:sectPr w:rsidR="00AE0A9F">
          <w:pgSz w:w="16838" w:h="11906" w:orient="landscape"/>
          <w:pgMar w:top="851" w:right="1134" w:bottom="1701" w:left="1134" w:header="709" w:footer="709" w:gutter="0"/>
          <w:cols w:space="720"/>
          <w:titlePg/>
        </w:sectPr>
      </w:pPr>
    </w:p>
    <w:p w:rsidR="00AE0A9F" w:rsidRDefault="00577A1E">
      <w:pPr>
        <w:widowControl w:val="0"/>
        <w:autoSpaceDE w:val="0"/>
        <w:ind w:firstLine="0"/>
        <w:jc w:val="center"/>
        <w:outlineLvl w:val="3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Оценка потребности в предоставлении</w:t>
      </w:r>
    </w:p>
    <w:p w:rsidR="00AE0A9F" w:rsidRDefault="00577A1E">
      <w:pPr>
        <w:widowControl w:val="0"/>
        <w:autoSpaceDE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муниципальных услуг (</w:t>
      </w:r>
      <w:proofErr w:type="gramStart"/>
      <w:r>
        <w:rPr>
          <w:rFonts w:eastAsia="Times New Roman"/>
          <w:szCs w:val="24"/>
          <w:lang w:eastAsia="ru-RU"/>
        </w:rPr>
        <w:t>выполнении</w:t>
      </w:r>
      <w:proofErr w:type="gramEnd"/>
      <w:r>
        <w:rPr>
          <w:rFonts w:eastAsia="Times New Roman"/>
          <w:szCs w:val="24"/>
          <w:lang w:eastAsia="ru-RU"/>
        </w:rPr>
        <w:t xml:space="preserve"> работ) в стоимостном выражении на плановый период</w:t>
      </w:r>
    </w:p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850"/>
        <w:gridCol w:w="707"/>
        <w:gridCol w:w="740"/>
        <w:gridCol w:w="817"/>
        <w:gridCol w:w="851"/>
        <w:gridCol w:w="915"/>
        <w:gridCol w:w="913"/>
        <w:gridCol w:w="1012"/>
        <w:gridCol w:w="992"/>
        <w:gridCol w:w="850"/>
        <w:gridCol w:w="900"/>
        <w:gridCol w:w="941"/>
        <w:gridCol w:w="853"/>
        <w:gridCol w:w="870"/>
        <w:gridCol w:w="1020"/>
        <w:gridCol w:w="942"/>
      </w:tblGrid>
      <w:tr w:rsidR="00AE0A9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Плановый период</w:t>
            </w:r>
          </w:p>
        </w:tc>
        <w:tc>
          <w:tcPr>
            <w:tcW w:w="7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Плановый период</w:t>
            </w:r>
          </w:p>
        </w:tc>
      </w:tr>
      <w:tr w:rsidR="00AE0A9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9F" w:rsidRDefault="00AE0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56" w:right="-12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Базовый норм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тив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зат-рат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(рублей)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55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Нормативные затраты (гр. 2 x гр. 3 x гр. 4) (рублей)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6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муници-пальной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62" w:right="-3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 (гр. 5 x гр. 6) (рублей)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доходов от оказания муниципальных услуг, относящихся к основным видам деятельности (рублей)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выполнения муниципального задания за счет средств бюджета (гр. 7 - гр. 8)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Базовый норматив затрат (рублей)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Нормативные затраты (гр. 10 x гр. 11 x гр. 12) (рублей)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муниципальной услуги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 (гр. 13 x гр. 14) (рублей)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доходов от оказания муниципальных услуг, относящихся к основным видам деятельности (рублей)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Объем финансового обеспечения выполнения муниципального задания за счет средств бюджета (гр. 15 - гр. 16) (рублей)</w:t>
            </w: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</w:tr>
      <w:tr w:rsidR="00AE0A9F">
        <w:tc>
          <w:tcPr>
            <w:tcW w:w="15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услуги (работы)</w:t>
            </w: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Непосредственно связанные с оказанием муниципальной услуги (выполнением работ)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left="-60" w:right="-6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 На общехозяйственные нужды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 нормативные затраты на оказание муниципальной услуги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 На уплату налогов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статья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0A9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9F" w:rsidRDefault="00577A1E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 (п. 1 + п. 2 + п.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9F" w:rsidRDefault="00AE0A9F">
            <w:pPr>
              <w:widowControl w:val="0"/>
              <w:autoSpaceDE w:val="0"/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0A9F" w:rsidRDefault="00AE0A9F">
      <w:pPr>
        <w:widowControl w:val="0"/>
        <w:autoSpaceDE w:val="0"/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AE0A9F" w:rsidRDefault="00AE0A9F">
      <w:pPr>
        <w:ind w:firstLine="0"/>
        <w:jc w:val="center"/>
        <w:rPr>
          <w:rFonts w:eastAsia="Times New Roman"/>
          <w:lang w:eastAsia="ru-RU"/>
        </w:rPr>
      </w:pPr>
    </w:p>
    <w:sectPr w:rsidR="00AE0A9F">
      <w:pgSz w:w="16838" w:h="11906" w:orient="landscape"/>
      <w:pgMar w:top="851" w:right="1134" w:bottom="170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9F" w:rsidRDefault="00577A1E">
      <w:r>
        <w:separator/>
      </w:r>
    </w:p>
  </w:endnote>
  <w:endnote w:type="continuationSeparator" w:id="0">
    <w:p w:rsidR="00AE0A9F" w:rsidRDefault="0057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9F" w:rsidRDefault="00577A1E">
      <w:r>
        <w:separator/>
      </w:r>
    </w:p>
  </w:footnote>
  <w:footnote w:type="continuationSeparator" w:id="0">
    <w:p w:rsidR="00AE0A9F" w:rsidRDefault="00577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6977"/>
      <w:docPartObj>
        <w:docPartGallery w:val="Page Numbers (Top of Page)"/>
        <w:docPartUnique/>
      </w:docPartObj>
    </w:sdtPr>
    <w:sdtEndPr/>
    <w:sdtContent>
      <w:p w:rsidR="00AE0A9F" w:rsidRDefault="00577A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1F2">
          <w:rPr>
            <w:noProof/>
          </w:rPr>
          <w:t>11</w:t>
        </w:r>
        <w:r>
          <w:fldChar w:fldCharType="end"/>
        </w:r>
      </w:p>
    </w:sdtContent>
  </w:sdt>
  <w:p w:rsidR="00AE0A9F" w:rsidRDefault="00AE0A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3692881"/>
    <w:multiLevelType w:val="hybridMultilevel"/>
    <w:tmpl w:val="5D16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C11A5"/>
    <w:multiLevelType w:val="multilevel"/>
    <w:tmpl w:val="2FB0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E"/>
    <w:rsid w:val="002C41F2"/>
    <w:rsid w:val="00577A1E"/>
    <w:rsid w:val="00A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8978-CB57-4A28-A99F-04CD3625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2023-03-24T08:07:00Z</dcterms:created>
  <dcterms:modified xsi:type="dcterms:W3CDTF">2023-03-24T08:07:00Z</dcterms:modified>
</cp:coreProperties>
</file>