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44" w:rsidRDefault="00053A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61444" w:rsidRDefault="00053A6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61444" w:rsidRDefault="00053A6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61444" w:rsidRDefault="0066144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61444" w:rsidRDefault="00053A6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61444" w:rsidRDefault="00661444">
      <w:pPr>
        <w:ind w:firstLine="0"/>
        <w:jc w:val="center"/>
        <w:rPr>
          <w:rFonts w:eastAsia="Times New Roman"/>
          <w:b/>
          <w:lang w:eastAsia="ru-RU"/>
        </w:rPr>
      </w:pPr>
    </w:p>
    <w:p w:rsidR="00661444" w:rsidRDefault="00053A6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08.10.2021г. № 1795</w:t>
      </w:r>
    </w:p>
    <w:p w:rsidR="00661444" w:rsidRDefault="00661444">
      <w:pPr>
        <w:ind w:firstLine="0"/>
        <w:jc w:val="center"/>
        <w:rPr>
          <w:rFonts w:eastAsia="Times New Roman"/>
          <w:lang w:eastAsia="ru-RU"/>
        </w:rPr>
      </w:pPr>
    </w:p>
    <w:p w:rsidR="00661444" w:rsidRDefault="00053A6B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создании согласительной комиссии по урегулированию разногласий, послуживших основанием для подготовки заключения о несогласии с проектом изменений в Генеральный план муниципального образования «рабочий поселок Большое Козино»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района Нижегородской области</w:t>
      </w:r>
    </w:p>
    <w:bookmarkEnd w:id="0"/>
    <w:p w:rsidR="00661444" w:rsidRDefault="0066144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61444" w:rsidRDefault="00053A6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частью 9 статьи 25 </w:t>
      </w:r>
      <w:r w:rsidRPr="0066754C">
        <w:rPr>
          <w:rFonts w:eastAsia="Times New Roman"/>
          <w:szCs w:val="24"/>
          <w:lang w:eastAsia="ru-RU"/>
        </w:rPr>
        <w:t>Градостроительного кодекса Российской Федерации</w:t>
      </w:r>
      <w:r>
        <w:rPr>
          <w:rFonts w:eastAsia="Times New Roman"/>
          <w:szCs w:val="24"/>
          <w:lang w:eastAsia="ru-RU"/>
        </w:rPr>
        <w:t xml:space="preserve">, приказом Министерства экономического развития Российской Федерации от 21 июля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</w:t>
      </w:r>
      <w:r>
        <w:rPr>
          <w:rFonts w:eastAsia="Times New Roman"/>
          <w:szCs w:val="24"/>
          <w:lang w:eastAsia="ru-RU"/>
        </w:rPr>
        <w:t>:</w:t>
      </w:r>
    </w:p>
    <w:p w:rsidR="00661444" w:rsidRDefault="00053A6B">
      <w:pPr>
        <w:tabs>
          <w:tab w:val="left" w:pos="284"/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Создать согласительную комиссию по урегулированию разногласий, послуживших основанием для подготовки заключения о несогласии с проектом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(далее Комиссия).</w:t>
      </w:r>
    </w:p>
    <w:p w:rsidR="00661444" w:rsidRDefault="00053A6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положение о Комиссии согласно приложению 1 к настоящему постановлению.</w:t>
      </w:r>
    </w:p>
    <w:p w:rsidR="00661444" w:rsidRDefault="00053A6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Утвердить состав Комиссии согласно приложению 2 к настоящему постановлению.</w:t>
      </w:r>
    </w:p>
    <w:p w:rsidR="00661444" w:rsidRDefault="00053A6B">
      <w:pPr>
        <w:tabs>
          <w:tab w:val="left" w:pos="708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 xml:space="preserve">Управлению архитектуры, градостроительства и землепользования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в течение десяти дней со дня принятия настоящего постановления обеспечить направление проекта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в Министерство экологии и природных ресурсов Нижегородской области, в Министерство имущественных и земельных отношений Нижегородской области, в департамент лесного хозяйства Нижегородской области, в департамент</w:t>
      </w:r>
      <w:proofErr w:type="gramEnd"/>
      <w:r>
        <w:rPr>
          <w:rFonts w:eastAsia="Times New Roman"/>
          <w:szCs w:val="24"/>
          <w:lang w:eastAsia="ru-RU"/>
        </w:rPr>
        <w:t xml:space="preserve"> развития туризма и художественных промыслов Нижегородской области</w:t>
      </w:r>
    </w:p>
    <w:p w:rsidR="00661444" w:rsidRDefault="00053A6B">
      <w:pPr>
        <w:tabs>
          <w:tab w:val="left" w:pos="708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lastRenderedPageBreak/>
        <w:t>муниципального округа Нижегородской области в информационно-телекоммуникационной сети «Интернет».</w:t>
      </w:r>
    </w:p>
    <w:p w:rsidR="00661444" w:rsidRDefault="00053A6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В.А. Попова.</w:t>
      </w:r>
    </w:p>
    <w:p w:rsidR="00661444" w:rsidRDefault="0066144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61444" w:rsidRDefault="0066144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61444" w:rsidRDefault="00053A6B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</w:p>
    <w:p w:rsidR="00661444" w:rsidRDefault="0066144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61444" w:rsidRDefault="00661444">
      <w:pPr>
        <w:autoSpaceDN/>
        <w:ind w:firstLine="0"/>
        <w:jc w:val="left"/>
        <w:rPr>
          <w:rFonts w:eastAsia="Times New Roman"/>
          <w:bCs/>
          <w:iCs/>
          <w:szCs w:val="24"/>
          <w:lang w:eastAsia="x-none"/>
        </w:rPr>
        <w:sectPr w:rsidR="00661444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661444" w:rsidRDefault="00053A6B">
      <w:pPr>
        <w:ind w:firstLine="567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lastRenderedPageBreak/>
        <w:t>Приложение 1</w:t>
      </w:r>
    </w:p>
    <w:p w:rsidR="00661444" w:rsidRDefault="00053A6B">
      <w:pPr>
        <w:ind w:firstLine="567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к постановлению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 xml:space="preserve">администрации </w:t>
      </w:r>
      <w:proofErr w:type="spellStart"/>
      <w:r>
        <w:rPr>
          <w:rFonts w:eastAsia="Times New Roman"/>
          <w:bCs/>
          <w:iCs/>
          <w:szCs w:val="24"/>
          <w:lang w:eastAsia="x-none"/>
        </w:rPr>
        <w:t>Балахнинского</w:t>
      </w:r>
      <w:proofErr w:type="spellEnd"/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муниципального округа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Нижегородской области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от 08.10.2021 № 1795</w:t>
      </w:r>
    </w:p>
    <w:p w:rsidR="00661444" w:rsidRDefault="00661444">
      <w:pPr>
        <w:ind w:firstLine="0"/>
        <w:rPr>
          <w:rFonts w:eastAsia="Times New Roman"/>
          <w:bCs/>
          <w:iCs/>
          <w:szCs w:val="24"/>
          <w:lang w:eastAsia="x-none"/>
        </w:rPr>
      </w:pPr>
    </w:p>
    <w:p w:rsidR="00661444" w:rsidRDefault="00053A6B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661444" w:rsidRDefault="00053A6B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согласительной комиссии по урегулированию разногласий, послуживших основанием для подготовки заключения о несогласии с проектом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</w:t>
      </w:r>
    </w:p>
    <w:p w:rsidR="00661444" w:rsidRDefault="0066144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661444" w:rsidRDefault="00053A6B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Общие положения</w:t>
      </w:r>
    </w:p>
    <w:p w:rsidR="00661444" w:rsidRDefault="00661444">
      <w:pPr>
        <w:ind w:firstLine="0"/>
        <w:jc w:val="left"/>
        <w:rPr>
          <w:rFonts w:eastAsia="Times New Roman"/>
          <w:szCs w:val="24"/>
          <w:lang w:eastAsia="ru-RU"/>
        </w:rPr>
      </w:pPr>
    </w:p>
    <w:p w:rsidR="00661444" w:rsidRDefault="00053A6B">
      <w:pPr>
        <w:numPr>
          <w:ilvl w:val="1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«Положение о согласительной комиссии по урегулированию</w:t>
      </w:r>
    </w:p>
    <w:p w:rsidR="00661444" w:rsidRDefault="00053A6B">
      <w:pPr>
        <w:ind w:firstLine="0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разногласий, послуживших основанием для подготовки заключения о несогласии с проектом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(далее Положение) разработано на основании Градостроительного кодекса Российской Федерации, приказа Министерства экономического развития Российской Федерации от 21 июля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</w:t>
      </w:r>
      <w:proofErr w:type="gramEnd"/>
      <w:r>
        <w:rPr>
          <w:rFonts w:eastAsia="Times New Roman"/>
          <w:szCs w:val="24"/>
          <w:lang w:eastAsia="ru-RU"/>
        </w:rPr>
        <w:t xml:space="preserve"> согласительной комиссии при согласовании проектов документов территориального планирования», и определяет порядок деятельности согласительной комиссии по урегулированию разногласий, послуживших основанием для подготовки заключения об отказе в согласовании проекта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(далее Проект).</w:t>
      </w:r>
    </w:p>
    <w:p w:rsidR="00661444" w:rsidRDefault="00053A6B">
      <w:pPr>
        <w:numPr>
          <w:ilvl w:val="1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Комиссия создается в целях урегулирования разногласий, послуживших </w:t>
      </w:r>
    </w:p>
    <w:p w:rsidR="00661444" w:rsidRDefault="00053A6B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основанием для подготовки заключений об отказе в согласовании Проекта.</w:t>
      </w:r>
    </w:p>
    <w:p w:rsidR="00661444" w:rsidRDefault="00053A6B">
      <w:pPr>
        <w:numPr>
          <w:ilvl w:val="1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Комиссия в своей деятельности руководствуется Конституций Российской </w:t>
      </w:r>
    </w:p>
    <w:p w:rsidR="00661444" w:rsidRDefault="00053A6B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настоящим положением.</w:t>
      </w:r>
    </w:p>
    <w:p w:rsidR="00661444" w:rsidRDefault="00053A6B">
      <w:pPr>
        <w:numPr>
          <w:ilvl w:val="1"/>
          <w:numId w:val="4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состав Комиссии включаются:</w:t>
      </w:r>
    </w:p>
    <w:p w:rsidR="00661444" w:rsidRDefault="00053A6B">
      <w:pPr>
        <w:numPr>
          <w:ilvl w:val="0"/>
          <w:numId w:val="6"/>
        </w:num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представители согласующих органов, направивших отрицательные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заключения о Проекте (Министерство экологии и природных ресурсов Нижегородской области, Министерство градостроительной деятельности и развития агломераций Нижегородской области, Министерство имущественных и земельных отношений Нижегородской области, Министерство имущественных и земельных отношений Нижегородской области, Департамент лесного хозяйства Нижегородской области, Департамент развития туризм и художественных промыслов Нижегородской области;</w:t>
      </w:r>
    </w:p>
    <w:p w:rsidR="00661444" w:rsidRDefault="00053A6B">
      <w:pPr>
        <w:numPr>
          <w:ilvl w:val="0"/>
          <w:numId w:val="6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представители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области;</w:t>
      </w:r>
    </w:p>
    <w:p w:rsidR="00661444" w:rsidRDefault="00053A6B">
      <w:pPr>
        <w:tabs>
          <w:tab w:val="left" w:pos="708"/>
          <w:tab w:val="right" w:pos="9072"/>
        </w:tabs>
        <w:ind w:left="56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 представители разработчика Проекта (с правом совещательного голоса).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Деятельность Комиссии осуществляется на принципах </w:t>
      </w:r>
      <w:proofErr w:type="gramStart"/>
      <w:r>
        <w:rPr>
          <w:rFonts w:eastAsia="Times New Roman"/>
          <w:szCs w:val="24"/>
          <w:lang w:eastAsia="ru-RU"/>
        </w:rPr>
        <w:t>коллегиального</w:t>
      </w:r>
      <w:proofErr w:type="gramEnd"/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рассмотрения вопросов и принятия в пределах своей компетенции согласованных решений.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993"/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Регламент и порядок работы Комиссии</w:t>
      </w:r>
    </w:p>
    <w:p w:rsidR="00661444" w:rsidRDefault="00661444">
      <w:pPr>
        <w:tabs>
          <w:tab w:val="left" w:pos="708"/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Срок работы Комиссии составляет не более 2 месяцев </w:t>
      </w:r>
      <w:proofErr w:type="gramStart"/>
      <w:r>
        <w:rPr>
          <w:rFonts w:eastAsia="Times New Roman"/>
          <w:szCs w:val="24"/>
          <w:lang w:eastAsia="ru-RU"/>
        </w:rPr>
        <w:t>с даты</w:t>
      </w:r>
      <w:proofErr w:type="gramEnd"/>
      <w:r>
        <w:rPr>
          <w:rFonts w:eastAsia="Times New Roman"/>
          <w:szCs w:val="24"/>
          <w:lang w:eastAsia="ru-RU"/>
        </w:rPr>
        <w:t xml:space="preserve"> её создания.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Комиссия осуществляет свою работу посредством организации и проведения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заседания Комиссии. Уведомление о дате, времени и месте работы Комиссии направляются секретарем Комиссии не позднее, чем за 10 календарных дней до дня заседания Комиссии. Одновременно с уведомлением в рамках подготовки к заседанию Комиссии, а также для формирования письменных позиций членам Комиссии могут направляться текстовые и графические материалы, иллюстрирующие вопросы, подлежащие рассмотрению на заседании Комиссии.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заседаниях Комиссии присутствуют члены Комиссии.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Работа заседаний Комиссии осуществляется путем личного участия ее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членов в рассмотрении вопросов, в том числе путем использования систем </w:t>
      </w:r>
      <w:proofErr w:type="gramStart"/>
      <w:r>
        <w:rPr>
          <w:rFonts w:eastAsia="Times New Roman"/>
          <w:szCs w:val="24"/>
          <w:lang w:eastAsia="ru-RU"/>
        </w:rPr>
        <w:t>видео-конференцсвязи</w:t>
      </w:r>
      <w:proofErr w:type="gramEnd"/>
      <w:r>
        <w:rPr>
          <w:rFonts w:eastAsia="Times New Roman"/>
          <w:szCs w:val="24"/>
          <w:lang w:eastAsia="ru-RU"/>
        </w:rPr>
        <w:t>. В случае отсутствия возможности личного участия в заседании Комиссии, члены Комиссии принимают участие в ее работе путем представления письменных позиций. Письменная позиция должна содержать однозначную позицию по разрешению замечаний, послуживших основанием для подготовки заключения о несогласии с Проектом.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неявки членов Комиссии на заседание Комиссии и непредставления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дате заседания письменных позиций, замечания, послужившие основанием для подготовки заключения о несогласии с проектом, считаются урегулированными.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Решение Комиссии принимается простым большинством голосов ее членов,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лично участвующих на заседании Комиссии и направивших письменные позиции в установленный срок. При равенстве голосов решающим является голос председательствующего на заседании Комиссии.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отношении Проекта Комиссия принимает одно из следующих решений:</w:t>
      </w:r>
    </w:p>
    <w:p w:rsidR="00661444" w:rsidRDefault="00053A6B">
      <w:pPr>
        <w:numPr>
          <w:ilvl w:val="0"/>
          <w:numId w:val="8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согласовать Проект с внесением в него изменений, учитывающих все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замечания, явившиеся основанием для несогласия с данным проектом;</w:t>
      </w:r>
    </w:p>
    <w:p w:rsidR="00661444" w:rsidRDefault="00053A6B">
      <w:pPr>
        <w:numPr>
          <w:ilvl w:val="0"/>
          <w:numId w:val="8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отказать в согласовании Проекта с указанием причин, послуживших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основанием для принятия такого решения.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Решения Комиссии оформляются протоколом заседания Комиссии. При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несогласии</w:t>
      </w:r>
      <w:proofErr w:type="gramEnd"/>
      <w:r>
        <w:rPr>
          <w:rFonts w:eastAsia="Times New Roman"/>
          <w:szCs w:val="24"/>
          <w:lang w:eastAsia="ru-RU"/>
        </w:rPr>
        <w:t xml:space="preserve"> с принятым решением член Комиссии вправе изложить письменно особое мнение, которое подлежит обязательному приобщению к протоколу и является его неотъемлемой частью.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Протокол заседания Комиссии оформляется секретарем Комиссии не позднее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10 рабочих дней со дня заседания Комиссии и подписывается председательствующим на заседании Комиссии, секретарем Комиссии и всеми членами Комиссии, включенными в ее состав.</w:t>
      </w:r>
    </w:p>
    <w:p w:rsidR="00661444" w:rsidRDefault="00053A6B">
      <w:pPr>
        <w:numPr>
          <w:ilvl w:val="1"/>
          <w:numId w:val="4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итогам работы Комиссии председатель Комиссии представляет главе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661444" w:rsidRDefault="00053A6B">
      <w:pPr>
        <w:numPr>
          <w:ilvl w:val="0"/>
          <w:numId w:val="10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принятии решения, указанного в подпункте 1 пункта 2.8. настоящего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Положения, - подготовленный для утверждения Проект с внесенными в него изменениями вместе с протоколом заседания Комиссии, завизированным всеми представителями согласующих органов, включенными в состав Комиссии, материалами в текстовой форме и в виде карт по несогласованным вопросам;</w:t>
      </w:r>
    </w:p>
    <w:p w:rsidR="00661444" w:rsidRDefault="00053A6B">
      <w:pPr>
        <w:numPr>
          <w:ilvl w:val="0"/>
          <w:numId w:val="10"/>
        </w:numPr>
        <w:tabs>
          <w:tab w:val="left" w:pos="708"/>
          <w:tab w:val="right" w:pos="9072"/>
        </w:tabs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принятии решения, указанного в подпункте 2 пункта 2.8. настоящего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Положения, - несогласованный Проект, заключение о несогласии с Проектом, протокол заседания Комиссии, а также материалы в текстовой форме и в виде карт по несогласованным вопросам.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Указанные в подпункте 2 настоящего пункта документы и материалы могут содержать: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а) предложения об исключении из Проекта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б) план согласования указанных в подпункте «а» настоящего пункта вопросов после утверждения Проекта путем подготовки предложений о внесении в Проект соответствующих изменений.</w:t>
      </w:r>
    </w:p>
    <w:p w:rsidR="00661444" w:rsidRDefault="00053A6B">
      <w:pPr>
        <w:tabs>
          <w:tab w:val="left" w:pos="708"/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</w:t>
      </w:r>
    </w:p>
    <w:p w:rsidR="00661444" w:rsidRDefault="0066144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661444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661444" w:rsidRDefault="00053A6B">
      <w:pPr>
        <w:ind w:firstLine="567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lastRenderedPageBreak/>
        <w:t>Приложение 2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к постановлению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 xml:space="preserve">администрации </w:t>
      </w:r>
      <w:proofErr w:type="spellStart"/>
      <w:r>
        <w:rPr>
          <w:rFonts w:eastAsia="Times New Roman"/>
          <w:bCs/>
          <w:iCs/>
          <w:szCs w:val="24"/>
          <w:lang w:eastAsia="x-none"/>
        </w:rPr>
        <w:t>Балахнинского</w:t>
      </w:r>
      <w:proofErr w:type="spellEnd"/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муниципального округа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Нижегородской области</w:t>
      </w:r>
    </w:p>
    <w:p w:rsidR="00661444" w:rsidRDefault="00053A6B">
      <w:pPr>
        <w:ind w:firstLine="0"/>
        <w:jc w:val="right"/>
        <w:rPr>
          <w:rFonts w:eastAsia="Times New Roman"/>
          <w:bCs/>
          <w:iCs/>
          <w:szCs w:val="24"/>
          <w:lang w:eastAsia="x-none"/>
        </w:rPr>
      </w:pPr>
      <w:r>
        <w:rPr>
          <w:rFonts w:eastAsia="Times New Roman"/>
          <w:bCs/>
          <w:iCs/>
          <w:szCs w:val="24"/>
          <w:lang w:eastAsia="x-none"/>
        </w:rPr>
        <w:t>от 08.10.2021 № 1795</w:t>
      </w:r>
    </w:p>
    <w:p w:rsidR="00661444" w:rsidRDefault="00661444">
      <w:pPr>
        <w:tabs>
          <w:tab w:val="left" w:pos="708"/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661444" w:rsidRDefault="00661444">
      <w:pPr>
        <w:tabs>
          <w:tab w:val="left" w:pos="708"/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Состав</w:t>
      </w:r>
    </w:p>
    <w:p w:rsidR="00661444" w:rsidRDefault="00053A6B">
      <w:pPr>
        <w:tabs>
          <w:tab w:val="left" w:pos="708"/>
          <w:tab w:val="right" w:pos="9072"/>
        </w:tabs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согласительной комиссии по урегулированию разногласий, послуживших основанием для подготовки заключения о несогласии с проектом изменений в генеральный план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области.</w:t>
      </w:r>
    </w:p>
    <w:p w:rsidR="00661444" w:rsidRDefault="00661444">
      <w:pPr>
        <w:tabs>
          <w:tab w:val="left" w:pos="708"/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Галкин А.Н. – глава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(председатель Комиссии)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Алексеева Л.С. - главный специалист управления архитектуры, градостроительства и землепользования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(секретарь Комиссии)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Комиссии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Попов В.А. – заместитель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(заместитель председателя Комиссии)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661444" w:rsidRDefault="00053A6B">
      <w:pPr>
        <w:tabs>
          <w:tab w:val="left" w:pos="-567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Фролов Ф.С. -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архитектуры, градостроительства и землепользования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Широков М.Г. – председатель комитета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Макарычева Ю.В. </w:t>
      </w:r>
      <w:r>
        <w:rPr>
          <w:rFonts w:eastAsia="Times New Roman"/>
          <w:szCs w:val="24"/>
          <w:lang w:eastAsia="ru-RU"/>
        </w:rPr>
        <w:t xml:space="preserve">– председатель правового комитета администрации 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Нижегородской области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Новрузов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Э.А. </w:t>
      </w:r>
      <w:r>
        <w:rPr>
          <w:rFonts w:eastAsia="Times New Roman"/>
          <w:szCs w:val="24"/>
          <w:lang w:eastAsia="ru-RU"/>
        </w:rPr>
        <w:t xml:space="preserve">- начальник отдела </w:t>
      </w:r>
      <w:proofErr w:type="spellStart"/>
      <w:r>
        <w:rPr>
          <w:rFonts w:eastAsia="Times New Roman"/>
          <w:szCs w:val="24"/>
          <w:lang w:eastAsia="ru-RU"/>
        </w:rPr>
        <w:t>Большекозинского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Якимчева</w:t>
      </w:r>
      <w:proofErr w:type="spellEnd"/>
      <w:r>
        <w:rPr>
          <w:rFonts w:eastAsia="Times New Roman"/>
          <w:szCs w:val="24"/>
          <w:lang w:eastAsia="ru-RU"/>
        </w:rPr>
        <w:t xml:space="preserve"> Е.А. - начальник отдела согласования документов территориального планирования ОМС Департамента градостроительной деятельности и развития агломераций Нижегородской области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ООО «</w:t>
      </w:r>
      <w:proofErr w:type="spellStart"/>
      <w:r>
        <w:rPr>
          <w:rFonts w:eastAsia="Times New Roman"/>
          <w:szCs w:val="24"/>
          <w:lang w:eastAsia="ru-RU"/>
        </w:rPr>
        <w:t>НижНовСтройПроект</w:t>
      </w:r>
      <w:proofErr w:type="spellEnd"/>
      <w:r>
        <w:rPr>
          <w:rFonts w:eastAsia="Times New Roman"/>
          <w:szCs w:val="24"/>
          <w:lang w:eastAsia="ru-RU"/>
        </w:rPr>
        <w:t>»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экономического развития Российской Федерации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транспорта Российской Федерации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обороны российской Федерации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Представитель Федерального агентства лесного хозяйства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градостроительной деятельности и развития агломераций Нижегородской области (по согласованию)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экологии и природных ресурсов Нижегородской области (по согласованию)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имущественных и земельных отношений Нижегородской области (по согласованию)</w:t>
      </w:r>
    </w:p>
    <w:p w:rsidR="00661444" w:rsidRDefault="00661444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Министерства лесного хозяйства и охраны объектов животного мира Нижегородской области (по согласованию)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661444" w:rsidRDefault="00053A6B">
      <w:pPr>
        <w:tabs>
          <w:tab w:val="left" w:pos="708"/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Департамента туризма и художественных промыслов Нижегородской области (по согласованию)</w:t>
      </w:r>
    </w:p>
    <w:p w:rsidR="00661444" w:rsidRDefault="00661444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661444" w:rsidRDefault="00661444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661444" w:rsidRDefault="00053A6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</w:t>
      </w:r>
    </w:p>
    <w:sectPr w:rsidR="00661444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44" w:rsidRDefault="00053A6B">
      <w:r>
        <w:separator/>
      </w:r>
    </w:p>
  </w:endnote>
  <w:endnote w:type="continuationSeparator" w:id="0">
    <w:p w:rsidR="00661444" w:rsidRDefault="0005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44" w:rsidRDefault="00053A6B">
      <w:r>
        <w:separator/>
      </w:r>
    </w:p>
  </w:footnote>
  <w:footnote w:type="continuationSeparator" w:id="0">
    <w:p w:rsidR="00661444" w:rsidRDefault="0005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CE58D1"/>
    <w:multiLevelType w:val="multilevel"/>
    <w:tmpl w:val="E07EC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CA050FF"/>
    <w:multiLevelType w:val="hybridMultilevel"/>
    <w:tmpl w:val="523AF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7328"/>
    <w:multiLevelType w:val="hybridMultilevel"/>
    <w:tmpl w:val="CDBAD15A"/>
    <w:lvl w:ilvl="0" w:tplc="EB0019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5A0694"/>
    <w:multiLevelType w:val="hybridMultilevel"/>
    <w:tmpl w:val="8C0AE7C0"/>
    <w:lvl w:ilvl="0" w:tplc="9F947A9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6B"/>
    <w:rsid w:val="00053A6B"/>
    <w:rsid w:val="00661444"/>
    <w:rsid w:val="006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uiPriority w:val="99"/>
    <w:semiHidden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uiPriority w:val="99"/>
    <w:semiHidden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9C11-4097-4243-B20A-3D803DB9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2023-03-24T08:46:00Z</dcterms:created>
  <dcterms:modified xsi:type="dcterms:W3CDTF">2023-03-24T08:46:00Z</dcterms:modified>
</cp:coreProperties>
</file>