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bookmarkEnd w:id="0"/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57084C9B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E79E0">
        <w:rPr>
          <w:rFonts w:eastAsia="Times New Roman"/>
          <w:lang w:eastAsia="ru-RU"/>
        </w:rPr>
        <w:t>0</w:t>
      </w:r>
      <w:r w:rsidR="00CF4678">
        <w:rPr>
          <w:rFonts w:eastAsia="Times New Roman"/>
          <w:lang w:eastAsia="ru-RU"/>
        </w:rPr>
        <w:t>6.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1E79E0">
        <w:rPr>
          <w:rFonts w:eastAsia="Times New Roman"/>
          <w:lang w:eastAsia="ru-RU"/>
        </w:rPr>
        <w:t>8</w:t>
      </w:r>
      <w:r w:rsidR="005B56B9">
        <w:rPr>
          <w:rFonts w:eastAsia="Times New Roman"/>
          <w:lang w:eastAsia="ru-RU"/>
        </w:rPr>
        <w:t>2</w:t>
      </w:r>
      <w:r w:rsidR="00CF4678">
        <w:rPr>
          <w:rFonts w:eastAsia="Times New Roman"/>
          <w:lang w:eastAsia="ru-RU"/>
        </w:rPr>
        <w:t>7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9457706" w14:textId="77847B3B" w:rsidR="003F5E09" w:rsidRPr="003F5E09" w:rsidRDefault="003F5E09" w:rsidP="003F5E09">
      <w:pPr>
        <w:ind w:firstLine="0"/>
        <w:jc w:val="center"/>
        <w:rPr>
          <w:b/>
          <w:bCs/>
          <w:lang w:eastAsia="ru-RU"/>
        </w:rPr>
      </w:pPr>
      <w:r w:rsidRPr="003F5E09">
        <w:rPr>
          <w:b/>
          <w:bCs/>
          <w:lang w:eastAsia="ru-RU"/>
        </w:rPr>
        <w:t xml:space="preserve">О внесении изменений в Положение об оплате труда работников муниципального бюджетного учреждения «Межотраслевая централизованная бухгалтерия муниципальных учреждений Балахнинского муниципального округа Нижегородской области», утвержденное постановлением администрации Балахнинского муниципального округа Нижегородской области </w:t>
      </w:r>
      <w:r w:rsidRPr="00AF56BA">
        <w:rPr>
          <w:b/>
          <w:bCs/>
          <w:lang w:eastAsia="ru-RU"/>
        </w:rPr>
        <w:t>от 07.02.2023 № 217</w:t>
      </w:r>
    </w:p>
    <w:p w14:paraId="5D315D03" w14:textId="77777777" w:rsidR="005B56B9" w:rsidRPr="003F5E09" w:rsidRDefault="005B56B9" w:rsidP="003F5E09">
      <w:pPr>
        <w:ind w:firstLine="0"/>
        <w:jc w:val="center"/>
        <w:rPr>
          <w:b/>
          <w:bCs/>
        </w:rPr>
      </w:pPr>
    </w:p>
    <w:p w14:paraId="53030E77" w14:textId="5B9FEB92" w:rsidR="003F5E09" w:rsidRPr="003F5E09" w:rsidRDefault="003F5E09" w:rsidP="003F5E09">
      <w:pPr>
        <w:spacing w:line="360" w:lineRule="auto"/>
        <w:ind w:firstLine="567"/>
      </w:pPr>
      <w:proofErr w:type="gramStart"/>
      <w:r w:rsidRPr="003F5E09">
        <w:t xml:space="preserve">В соответствии с </w:t>
      </w:r>
      <w:r w:rsidRPr="00033E6A">
        <w:t>Трудовым кодексом Российской Федерации</w:t>
      </w:r>
      <w:r w:rsidRPr="003F5E09">
        <w:t xml:space="preserve">, постановлением Правительства Нижегородской области от 15.06.2023 № 517 «О внесении изменений в постановление Правительства Нижегородской области от 23.09.2008 № 403», постановлениями Администрации Балахнинского муниципального округа Нижегородской области </w:t>
      </w:r>
      <w:r w:rsidRPr="00AF56BA">
        <w:t>от 18.06.2021 № 1124</w:t>
      </w:r>
      <w:r w:rsidRPr="003F5E09">
        <w:t xml:space="preserve"> «Об отраслевой системе оплаты труда работников муниципальных бюджетных, автономных и казённых учреждений Балахнинского муниципального округа Нижегородской области», </w:t>
      </w:r>
      <w:r w:rsidRPr="00AF56BA">
        <w:t>от 14.09.2021 № 1662</w:t>
      </w:r>
      <w:r w:rsidRPr="003F5E09">
        <w:t xml:space="preserve"> «О минимальных размерах окладов (минимальных</w:t>
      </w:r>
      <w:proofErr w:type="gramEnd"/>
      <w:r w:rsidRPr="003F5E09">
        <w:t xml:space="preserve"> </w:t>
      </w:r>
      <w:proofErr w:type="gramStart"/>
      <w:r w:rsidRPr="003F5E09">
        <w:t xml:space="preserve">размерах должностных окладов) по профессиональным квалификационным группам общеотраслевых должностей руководителей, специалистов и служащих, минимальных размерах ставок заработной платы по профессиональным квалификационным группам общеотраслевых профессий рабочих учреждений Балахнинского муниципального округа Нижегородской области» (с учетом изменений, внесенных постановлениями Администрации Балахнинского муниципального округа Нижегородской области </w:t>
      </w:r>
      <w:r w:rsidRPr="00AF56BA">
        <w:t>от 02.11.2021 № 2036</w:t>
      </w:r>
      <w:r w:rsidRPr="003F5E09">
        <w:t xml:space="preserve">, </w:t>
      </w:r>
      <w:r w:rsidRPr="00AF56BA">
        <w:t>от 17.10.2022 № 2114</w:t>
      </w:r>
      <w:r w:rsidRPr="003F5E09">
        <w:t xml:space="preserve">, </w:t>
      </w:r>
      <w:r w:rsidRPr="00AF56BA">
        <w:t>от 27.07.2023 № 1320</w:t>
      </w:r>
      <w:r w:rsidRPr="003F5E09">
        <w:t xml:space="preserve">), </w:t>
      </w:r>
      <w:r w:rsidRPr="00AF56BA">
        <w:t>от 08.06.2021 № 1037</w:t>
      </w:r>
      <w:r w:rsidRPr="003F5E09">
        <w:t xml:space="preserve"> «Об установлении предельного уровня соотношения среднемесячной</w:t>
      </w:r>
      <w:proofErr w:type="gramEnd"/>
      <w:r w:rsidRPr="003F5E09">
        <w:t xml:space="preserve"> заработной платы руководителей, их заместителей и главных бухгалтеров муниципальных учреждений и муниципальных унитарных предприятий Балахнинского муниципального округа Нижегородской области и среднемесячной заработной платы работников муниципальных учреждений и муниципальных унитарных предприятий», Администрация Балахнинского муниципального округа Нижегородской области </w:t>
      </w:r>
      <w:proofErr w:type="gramStart"/>
      <w:r w:rsidRPr="003F5E09">
        <w:rPr>
          <w:b/>
          <w:bCs/>
        </w:rPr>
        <w:t>п</w:t>
      </w:r>
      <w:proofErr w:type="gramEnd"/>
      <w:r>
        <w:rPr>
          <w:b/>
          <w:bCs/>
        </w:rPr>
        <w:t xml:space="preserve"> </w:t>
      </w:r>
      <w:r w:rsidRPr="003F5E09">
        <w:rPr>
          <w:b/>
          <w:bCs/>
        </w:rPr>
        <w:t>о с т а н о в л я е т:</w:t>
      </w:r>
    </w:p>
    <w:p w14:paraId="374EDAA6" w14:textId="231A629F" w:rsidR="003F5E09" w:rsidRPr="003F5E09" w:rsidRDefault="003F5E09" w:rsidP="003F5E09">
      <w:pPr>
        <w:spacing w:line="360" w:lineRule="auto"/>
        <w:ind w:firstLine="567"/>
      </w:pPr>
      <w:r w:rsidRPr="003F5E09">
        <w:t xml:space="preserve">1. Внести в Положение об оплате труда работников муниципального бюджетного учреждения «Межотраслевая централизованная бухгалтерия муниципальных учреждений Балахнинского муниципального округа Нижегородской области» (далее по тексту - Положение), утвержденное постановлением администрации Балахнинского муниципального округа Нижегородской области </w:t>
      </w:r>
      <w:r w:rsidRPr="00AF56BA">
        <w:t>от 07.02.2023 № 217</w:t>
      </w:r>
      <w:r w:rsidRPr="003F5E09">
        <w:t>, следующие изменения:</w:t>
      </w:r>
    </w:p>
    <w:p w14:paraId="6726EFF7" w14:textId="77777777" w:rsidR="003F5E09" w:rsidRPr="003F5E09" w:rsidRDefault="003F5E09" w:rsidP="003F5E09">
      <w:pPr>
        <w:spacing w:line="360" w:lineRule="auto"/>
        <w:ind w:firstLine="567"/>
      </w:pPr>
      <w:r w:rsidRPr="003F5E09">
        <w:t>1.1. Пункт 3.4.2 Положения изложить в следующей редакции:</w:t>
      </w:r>
    </w:p>
    <w:p w14:paraId="5BD0B284" w14:textId="77777777" w:rsidR="003F5E09" w:rsidRPr="003F5E09" w:rsidRDefault="003F5E09" w:rsidP="003F5E09">
      <w:pPr>
        <w:spacing w:line="360" w:lineRule="auto"/>
        <w:ind w:firstLine="567"/>
      </w:pPr>
      <w:r w:rsidRPr="003F5E09">
        <w:lastRenderedPageBreak/>
        <w:t>«3.4.2. Профессиональная квалификационная группа «Общеотраслевые должности служащих первого уровня». Минимальный размер должностного оклада – 6 366 рублей.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F5E09" w14:paraId="7D1FD9A0" w14:textId="77777777" w:rsidTr="006414DB">
        <w:trPr>
          <w:jc w:val="center"/>
        </w:trPr>
        <w:tc>
          <w:tcPr>
            <w:tcW w:w="2392" w:type="dxa"/>
          </w:tcPr>
          <w:p w14:paraId="705D5F59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Квалификационные уровни</w:t>
            </w:r>
          </w:p>
        </w:tc>
        <w:tc>
          <w:tcPr>
            <w:tcW w:w="2393" w:type="dxa"/>
          </w:tcPr>
          <w:p w14:paraId="491FBAAA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2393" w:type="dxa"/>
          </w:tcPr>
          <w:p w14:paraId="6148E3CC" w14:textId="77777777" w:rsidR="003F5E09" w:rsidRPr="003F5E09" w:rsidRDefault="003F5E09" w:rsidP="003F5E09">
            <w:pPr>
              <w:ind w:hanging="5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Повышающий коэффициент</w:t>
            </w:r>
          </w:p>
        </w:tc>
        <w:tc>
          <w:tcPr>
            <w:tcW w:w="2393" w:type="dxa"/>
          </w:tcPr>
          <w:p w14:paraId="4457F35C" w14:textId="77777777" w:rsidR="003F5E09" w:rsidRPr="003F5E09" w:rsidRDefault="003F5E09" w:rsidP="003F5E09">
            <w:pPr>
              <w:ind w:firstLine="25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Должностной оклад (рублей)</w:t>
            </w:r>
          </w:p>
        </w:tc>
      </w:tr>
      <w:tr w:rsidR="003F5E09" w14:paraId="17CD03CE" w14:textId="77777777" w:rsidTr="006414DB">
        <w:trPr>
          <w:jc w:val="center"/>
        </w:trPr>
        <w:tc>
          <w:tcPr>
            <w:tcW w:w="2392" w:type="dxa"/>
          </w:tcPr>
          <w:p w14:paraId="49ECBAB9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1 квалификационный уровень</w:t>
            </w:r>
          </w:p>
        </w:tc>
        <w:tc>
          <w:tcPr>
            <w:tcW w:w="2393" w:type="dxa"/>
          </w:tcPr>
          <w:p w14:paraId="19C41EC1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архивариус</w:t>
            </w:r>
          </w:p>
        </w:tc>
        <w:tc>
          <w:tcPr>
            <w:tcW w:w="2393" w:type="dxa"/>
          </w:tcPr>
          <w:p w14:paraId="13DC99E6" w14:textId="77777777" w:rsidR="003F5E09" w:rsidRPr="003F5E09" w:rsidRDefault="003F5E09" w:rsidP="003F5E09">
            <w:pPr>
              <w:ind w:hanging="5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1,0</w:t>
            </w:r>
          </w:p>
        </w:tc>
        <w:tc>
          <w:tcPr>
            <w:tcW w:w="2393" w:type="dxa"/>
          </w:tcPr>
          <w:p w14:paraId="1108C07C" w14:textId="77777777" w:rsidR="003F5E09" w:rsidRPr="003F5E09" w:rsidRDefault="003F5E09" w:rsidP="003F5E09">
            <w:pPr>
              <w:ind w:firstLine="25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6 366</w:t>
            </w:r>
          </w:p>
        </w:tc>
      </w:tr>
    </w:tbl>
    <w:p w14:paraId="2F17B680" w14:textId="77777777" w:rsidR="003F5E09" w:rsidRDefault="003F5E09" w:rsidP="003F5E09">
      <w:pPr>
        <w:ind w:firstLine="0"/>
        <w:jc w:val="center"/>
        <w:rPr>
          <w:rFonts w:eastAsia="Times New Roman"/>
          <w:sz w:val="28"/>
          <w:szCs w:val="28"/>
        </w:rPr>
      </w:pPr>
    </w:p>
    <w:p w14:paraId="3BC11CF9" w14:textId="77777777" w:rsidR="003F5E09" w:rsidRPr="003F5E09" w:rsidRDefault="003F5E09" w:rsidP="003F5E09">
      <w:pPr>
        <w:spacing w:line="360" w:lineRule="auto"/>
        <w:ind w:firstLine="567"/>
        <w:rPr>
          <w:rFonts w:eastAsia="Times New Roman"/>
          <w:szCs w:val="24"/>
        </w:rPr>
      </w:pPr>
      <w:r w:rsidRPr="003F5E09">
        <w:rPr>
          <w:rFonts w:eastAsia="Times New Roman"/>
          <w:szCs w:val="24"/>
        </w:rPr>
        <w:t>1.2. Пункт 3.4.3 Положения изложить в следующей редакции:</w:t>
      </w:r>
    </w:p>
    <w:p w14:paraId="7A815971" w14:textId="77777777" w:rsidR="003F5E09" w:rsidRPr="003F5E09" w:rsidRDefault="003F5E09" w:rsidP="003F5E09">
      <w:pPr>
        <w:spacing w:line="360" w:lineRule="auto"/>
        <w:ind w:firstLine="567"/>
        <w:rPr>
          <w:rFonts w:eastAsia="Times New Roman"/>
          <w:szCs w:val="24"/>
        </w:rPr>
      </w:pPr>
      <w:r w:rsidRPr="003F5E09">
        <w:rPr>
          <w:rFonts w:eastAsia="Times New Roman"/>
          <w:szCs w:val="24"/>
        </w:rPr>
        <w:t>«3.4.3. Профессиональная квалификационная группа «Общеотраслевые должности служащих второго уровня». Минимальный размер должностного оклада – 6 919 рублей.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F5E09" w:rsidRPr="003F5E09" w14:paraId="16ED632E" w14:textId="77777777" w:rsidTr="006414DB">
        <w:trPr>
          <w:jc w:val="center"/>
        </w:trPr>
        <w:tc>
          <w:tcPr>
            <w:tcW w:w="2392" w:type="dxa"/>
          </w:tcPr>
          <w:p w14:paraId="4F512DD9" w14:textId="77777777" w:rsidR="003F5E09" w:rsidRPr="003F5E09" w:rsidRDefault="003F5E09" w:rsidP="003F5E09">
            <w:pPr>
              <w:ind w:firstLine="4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Квалификационные уровни</w:t>
            </w:r>
          </w:p>
        </w:tc>
        <w:tc>
          <w:tcPr>
            <w:tcW w:w="2393" w:type="dxa"/>
          </w:tcPr>
          <w:p w14:paraId="7858C9F3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2393" w:type="dxa"/>
          </w:tcPr>
          <w:p w14:paraId="0148739B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Повышающий коэффициент</w:t>
            </w:r>
          </w:p>
        </w:tc>
        <w:tc>
          <w:tcPr>
            <w:tcW w:w="2393" w:type="dxa"/>
          </w:tcPr>
          <w:p w14:paraId="5387AC64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Должностной оклад (рублей)</w:t>
            </w:r>
          </w:p>
        </w:tc>
      </w:tr>
      <w:tr w:rsidR="003F5E09" w:rsidRPr="003F5E09" w14:paraId="4C70A608" w14:textId="77777777" w:rsidTr="006414DB">
        <w:trPr>
          <w:jc w:val="center"/>
        </w:trPr>
        <w:tc>
          <w:tcPr>
            <w:tcW w:w="2392" w:type="dxa"/>
          </w:tcPr>
          <w:p w14:paraId="2C029B67" w14:textId="77777777" w:rsidR="003F5E09" w:rsidRPr="003F5E09" w:rsidRDefault="003F5E09" w:rsidP="003F5E09">
            <w:pPr>
              <w:ind w:firstLine="4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1 квалификационный уровень</w:t>
            </w:r>
          </w:p>
        </w:tc>
        <w:tc>
          <w:tcPr>
            <w:tcW w:w="2393" w:type="dxa"/>
          </w:tcPr>
          <w:p w14:paraId="7B108107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секретарь руководителя</w:t>
            </w:r>
          </w:p>
        </w:tc>
        <w:tc>
          <w:tcPr>
            <w:tcW w:w="2393" w:type="dxa"/>
          </w:tcPr>
          <w:p w14:paraId="4332D5BD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1,02</w:t>
            </w:r>
          </w:p>
        </w:tc>
        <w:tc>
          <w:tcPr>
            <w:tcW w:w="2393" w:type="dxa"/>
          </w:tcPr>
          <w:p w14:paraId="103E9898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7 058</w:t>
            </w:r>
          </w:p>
        </w:tc>
      </w:tr>
    </w:tbl>
    <w:p w14:paraId="189E5E32" w14:textId="77777777" w:rsidR="003F5E09" w:rsidRPr="003F5E09" w:rsidRDefault="003F5E09" w:rsidP="003F5E09">
      <w:pPr>
        <w:rPr>
          <w:rFonts w:eastAsia="Times New Roman"/>
          <w:szCs w:val="24"/>
        </w:rPr>
      </w:pPr>
    </w:p>
    <w:p w14:paraId="0E905D1D" w14:textId="2EBA7531" w:rsidR="003F5E09" w:rsidRPr="003F5E09" w:rsidRDefault="003F5E09" w:rsidP="003F5E09">
      <w:pPr>
        <w:spacing w:line="360" w:lineRule="auto"/>
        <w:ind w:firstLine="567"/>
        <w:rPr>
          <w:rFonts w:eastAsia="Times New Roman"/>
          <w:szCs w:val="24"/>
        </w:rPr>
      </w:pPr>
      <w:r w:rsidRPr="003F5E09">
        <w:rPr>
          <w:rFonts w:eastAsia="Times New Roman"/>
          <w:szCs w:val="24"/>
        </w:rPr>
        <w:t>1.3. Таблицу пункта</w:t>
      </w:r>
      <w:r>
        <w:rPr>
          <w:rFonts w:eastAsia="Times New Roman"/>
          <w:szCs w:val="24"/>
        </w:rPr>
        <w:t xml:space="preserve"> </w:t>
      </w:r>
      <w:r w:rsidRPr="003F5E09">
        <w:rPr>
          <w:rFonts w:eastAsia="Times New Roman"/>
          <w:szCs w:val="24"/>
        </w:rPr>
        <w:t>3.4.4 Положения изложить в следующей редакции:</w:t>
      </w:r>
    </w:p>
    <w:p w14:paraId="5350D6CF" w14:textId="11155BB0" w:rsidR="003F5E09" w:rsidRPr="003F5E09" w:rsidRDefault="003F5E09" w:rsidP="003F5E09">
      <w:pPr>
        <w:spacing w:line="360" w:lineRule="auto"/>
        <w:ind w:firstLine="567"/>
        <w:contextualSpacing/>
        <w:rPr>
          <w:rFonts w:eastAsia="Times New Roman"/>
          <w:szCs w:val="24"/>
        </w:rPr>
      </w:pPr>
      <w:r w:rsidRPr="003F5E09">
        <w:rPr>
          <w:rFonts w:eastAsia="Times New Roman"/>
          <w:color w:val="2D2D2D"/>
          <w:spacing w:val="2"/>
          <w:szCs w:val="24"/>
        </w:rPr>
        <w:t>«</w:t>
      </w:r>
      <w:r w:rsidRPr="003F5E09">
        <w:rPr>
          <w:szCs w:val="24"/>
        </w:rPr>
        <w:t>3.4.4.</w:t>
      </w:r>
      <w:r w:rsidR="00033E6A">
        <w:rPr>
          <w:szCs w:val="24"/>
        </w:rPr>
        <w:t xml:space="preserve"> </w:t>
      </w:r>
      <w:r w:rsidRPr="003F5E09">
        <w:rPr>
          <w:rFonts w:eastAsia="Times New Roman"/>
          <w:spacing w:val="2"/>
          <w:szCs w:val="24"/>
        </w:rPr>
        <w:t xml:space="preserve">Профессиональная квалификационная группа «Общеотраслевые должности служащих третьего уровня». Минимальный </w:t>
      </w:r>
      <w:r w:rsidRPr="003F5E09">
        <w:rPr>
          <w:rFonts w:eastAsia="Times New Roman"/>
          <w:szCs w:val="24"/>
        </w:rPr>
        <w:t>размер должностного оклада</w:t>
      </w:r>
      <w:r w:rsidRPr="003F5E09">
        <w:rPr>
          <w:rFonts w:eastAsia="Times New Roman"/>
          <w:spacing w:val="2"/>
          <w:szCs w:val="24"/>
        </w:rPr>
        <w:t xml:space="preserve"> по ПКГ </w:t>
      </w:r>
      <w:r w:rsidRPr="003F5E09">
        <w:rPr>
          <w:rFonts w:eastAsia="Times New Roman"/>
          <w:szCs w:val="24"/>
        </w:rPr>
        <w:t>– 8 303 рубля:</w:t>
      </w:r>
    </w:p>
    <w:tbl>
      <w:tblPr>
        <w:tblW w:w="9764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70"/>
        <w:gridCol w:w="3040"/>
        <w:gridCol w:w="2256"/>
        <w:gridCol w:w="1898"/>
      </w:tblGrid>
      <w:tr w:rsidR="003F5E09" w:rsidRPr="003F5E09" w14:paraId="2745C9CF" w14:textId="77777777" w:rsidTr="003F5E09">
        <w:trPr>
          <w:trHeight w:val="19"/>
          <w:jc w:val="center"/>
        </w:trPr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4DA2A8" w14:textId="77777777" w:rsidR="003F5E09" w:rsidRPr="003F5E09" w:rsidRDefault="003F5E09" w:rsidP="003F5E09">
            <w:pPr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Квалификационные уровни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F09B" w14:textId="77777777" w:rsidR="003F5E09" w:rsidRPr="003F5E09" w:rsidRDefault="003F5E09" w:rsidP="003F5E09">
            <w:pPr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 xml:space="preserve">Должности, отнесенные </w:t>
            </w:r>
          </w:p>
          <w:p w14:paraId="21CC4187" w14:textId="77777777" w:rsidR="003F5E09" w:rsidRPr="003F5E09" w:rsidRDefault="003F5E09" w:rsidP="003F5E09">
            <w:pPr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к профессиональной квалификационной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FA9C01" w14:textId="77777777" w:rsidR="003F5E09" w:rsidRPr="003F5E09" w:rsidRDefault="003F5E09" w:rsidP="003F5E09">
            <w:pPr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 xml:space="preserve">Повышающий коэффициент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3FA28A" w14:textId="77777777" w:rsidR="003F5E09" w:rsidRPr="003F5E09" w:rsidRDefault="003F5E09" w:rsidP="003F5E09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3F5E09">
              <w:rPr>
                <w:szCs w:val="24"/>
              </w:rPr>
              <w:t>Должностной оклад</w:t>
            </w:r>
          </w:p>
          <w:p w14:paraId="144B4940" w14:textId="77777777" w:rsidR="003F5E09" w:rsidRPr="003F5E09" w:rsidRDefault="003F5E09" w:rsidP="003F5E09">
            <w:pPr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(рублей)</w:t>
            </w:r>
          </w:p>
        </w:tc>
      </w:tr>
      <w:tr w:rsidR="003F5E09" w:rsidRPr="003F5E09" w14:paraId="62A62548" w14:textId="77777777" w:rsidTr="003F5E09">
        <w:trPr>
          <w:trHeight w:val="19"/>
          <w:jc w:val="center"/>
        </w:trPr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5BCE76" w14:textId="77777777" w:rsidR="003F5E09" w:rsidRPr="003F5E09" w:rsidRDefault="003F5E09" w:rsidP="003F5E09">
            <w:pPr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C4A8D" w14:textId="77777777" w:rsidR="003F5E09" w:rsidRPr="003F5E09" w:rsidRDefault="003F5E09" w:rsidP="003F5E09">
            <w:pPr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инженер по охране труда,</w:t>
            </w:r>
          </w:p>
          <w:p w14:paraId="0E94DA38" w14:textId="77777777" w:rsidR="003F5E09" w:rsidRPr="003F5E09" w:rsidRDefault="003F5E09" w:rsidP="003F5E09">
            <w:pPr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бухгалтер, специалист по закупкам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7F844565" w14:textId="77777777" w:rsidR="003F5E09" w:rsidRPr="003F5E09" w:rsidRDefault="003F5E09" w:rsidP="003F5E09">
            <w:pPr>
              <w:spacing w:line="360" w:lineRule="auto"/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10673698" w14:textId="77777777" w:rsidR="003F5E09" w:rsidRPr="003F5E09" w:rsidRDefault="003F5E09" w:rsidP="003F5E09">
            <w:pPr>
              <w:spacing w:line="360" w:lineRule="auto"/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8 303</w:t>
            </w:r>
          </w:p>
        </w:tc>
      </w:tr>
      <w:tr w:rsidR="003F5E09" w:rsidRPr="003F5E09" w14:paraId="34342BBA" w14:textId="77777777" w:rsidTr="003F5E09">
        <w:trPr>
          <w:trHeight w:val="19"/>
          <w:jc w:val="center"/>
        </w:trPr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F1209D" w14:textId="77777777" w:rsidR="003F5E09" w:rsidRPr="003F5E09" w:rsidRDefault="003F5E09" w:rsidP="003F5E09">
            <w:pPr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CD844" w14:textId="77777777" w:rsidR="003F5E09" w:rsidRPr="003F5E09" w:rsidRDefault="003F5E09" w:rsidP="003F5E09">
            <w:pPr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 xml:space="preserve">бухгалтер </w:t>
            </w:r>
          </w:p>
          <w:p w14:paraId="63816924" w14:textId="77777777" w:rsidR="003F5E09" w:rsidRPr="003F5E09" w:rsidRDefault="003F5E09" w:rsidP="003F5E09">
            <w:pPr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(2 категория)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6AB6C02" w14:textId="77777777" w:rsidR="003F5E09" w:rsidRPr="003F5E09" w:rsidRDefault="003F5E09" w:rsidP="003F5E09">
            <w:pPr>
              <w:spacing w:line="360" w:lineRule="auto"/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95B7214" w14:textId="77777777" w:rsidR="003F5E09" w:rsidRPr="003F5E09" w:rsidRDefault="003F5E09" w:rsidP="003F5E09">
            <w:pPr>
              <w:spacing w:line="360" w:lineRule="auto"/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9 964</w:t>
            </w:r>
          </w:p>
        </w:tc>
      </w:tr>
      <w:tr w:rsidR="003F5E09" w:rsidRPr="003F5E09" w14:paraId="2854439D" w14:textId="77777777" w:rsidTr="003F5E09">
        <w:trPr>
          <w:trHeight w:val="806"/>
          <w:jc w:val="center"/>
        </w:trPr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7E5CD4" w14:textId="77777777" w:rsidR="003F5E09" w:rsidRPr="003F5E09" w:rsidRDefault="003F5E09" w:rsidP="003F5E09">
            <w:pPr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 xml:space="preserve">3 квалификационный уровень  </w:t>
            </w:r>
          </w:p>
          <w:p w14:paraId="1ABC1E30" w14:textId="77777777" w:rsidR="003F5E09" w:rsidRPr="003F5E09" w:rsidRDefault="003F5E09" w:rsidP="003F5E09">
            <w:pPr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E3DD" w14:textId="77777777" w:rsidR="003F5E09" w:rsidRPr="003F5E09" w:rsidRDefault="003F5E09" w:rsidP="003F5E09">
            <w:pPr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бухгалтер</w:t>
            </w:r>
          </w:p>
          <w:p w14:paraId="2AD8799E" w14:textId="77777777" w:rsidR="003F5E09" w:rsidRPr="003F5E09" w:rsidRDefault="003F5E09" w:rsidP="003F5E09">
            <w:pPr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(1 категория)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DBE5E31" w14:textId="77777777" w:rsidR="003F5E09" w:rsidRPr="003F5E09" w:rsidRDefault="003F5E09" w:rsidP="003F5E09">
            <w:pPr>
              <w:spacing w:line="360" w:lineRule="auto"/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B3055B2" w14:textId="77777777" w:rsidR="003F5E09" w:rsidRPr="003F5E09" w:rsidRDefault="003F5E09" w:rsidP="003F5E09">
            <w:pPr>
              <w:spacing w:line="360" w:lineRule="auto"/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11 625</w:t>
            </w:r>
          </w:p>
        </w:tc>
      </w:tr>
      <w:tr w:rsidR="003F5E09" w:rsidRPr="003F5E09" w14:paraId="2BF8EBD3" w14:textId="77777777" w:rsidTr="003F5E09">
        <w:trPr>
          <w:trHeight w:val="1484"/>
          <w:jc w:val="center"/>
        </w:trPr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B2AF7B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4 квалификационный уровень</w:t>
            </w:r>
          </w:p>
          <w:p w14:paraId="3902EC88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8F7FF" w14:textId="77777777" w:rsidR="003F5E09" w:rsidRPr="003F5E09" w:rsidRDefault="003F5E09" w:rsidP="003F5E09">
            <w:pPr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бухгалтер; экономист; специалист по кадрам</w:t>
            </w:r>
          </w:p>
          <w:p w14:paraId="648EBC43" w14:textId="77777777" w:rsidR="003F5E09" w:rsidRPr="003F5E09" w:rsidRDefault="003F5E09" w:rsidP="003F5E09">
            <w:pPr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(категория ведущий)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2D9533F" w14:textId="77777777" w:rsidR="003F5E09" w:rsidRPr="003F5E09" w:rsidRDefault="003F5E09" w:rsidP="003F5E09">
            <w:pPr>
              <w:ind w:firstLine="0"/>
              <w:contextualSpacing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1,55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65B69DB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12 870</w:t>
            </w:r>
          </w:p>
        </w:tc>
      </w:tr>
      <w:tr w:rsidR="003F5E09" w:rsidRPr="003F5E09" w14:paraId="122999A8" w14:textId="77777777" w:rsidTr="003F5E09">
        <w:trPr>
          <w:trHeight w:val="1152"/>
          <w:jc w:val="center"/>
        </w:trPr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7BBB79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5 квалификационный уровень</w:t>
            </w:r>
          </w:p>
          <w:p w14:paraId="30D3BED0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C11B2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 xml:space="preserve">заместитель главного бухгалтера, </w:t>
            </w:r>
          </w:p>
          <w:p w14:paraId="6F4FB539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руководитель контрактной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FE84A8F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1,67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D813DB7" w14:textId="02468543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13 867</w:t>
            </w:r>
          </w:p>
        </w:tc>
      </w:tr>
    </w:tbl>
    <w:p w14:paraId="60F88564" w14:textId="5D18191D" w:rsidR="003F5E09" w:rsidRDefault="003F5E09" w:rsidP="003F5E09">
      <w:pPr>
        <w:ind w:firstLine="0"/>
        <w:jc w:val="center"/>
        <w:rPr>
          <w:rFonts w:eastAsia="Times New Roman"/>
          <w:sz w:val="28"/>
          <w:szCs w:val="28"/>
        </w:rPr>
      </w:pPr>
    </w:p>
    <w:p w14:paraId="3922327B" w14:textId="77777777" w:rsidR="003F5E09" w:rsidRPr="003F5E09" w:rsidRDefault="003F5E09" w:rsidP="003F5E09">
      <w:pPr>
        <w:spacing w:line="360" w:lineRule="auto"/>
        <w:ind w:firstLine="567"/>
        <w:rPr>
          <w:rFonts w:eastAsia="Times New Roman"/>
          <w:szCs w:val="24"/>
        </w:rPr>
      </w:pPr>
      <w:r w:rsidRPr="003F5E09">
        <w:rPr>
          <w:rFonts w:eastAsia="Times New Roman"/>
          <w:szCs w:val="24"/>
        </w:rPr>
        <w:lastRenderedPageBreak/>
        <w:t>1.4. Пункт 3.4.5 Положения изложить в следующей редакции:</w:t>
      </w:r>
    </w:p>
    <w:p w14:paraId="6FF77AC3" w14:textId="77777777" w:rsidR="003F5E09" w:rsidRPr="003F5E09" w:rsidRDefault="003F5E09" w:rsidP="003F5E09">
      <w:pPr>
        <w:spacing w:line="360" w:lineRule="auto"/>
        <w:ind w:firstLine="567"/>
        <w:rPr>
          <w:rFonts w:eastAsia="Times New Roman"/>
          <w:szCs w:val="24"/>
        </w:rPr>
      </w:pPr>
      <w:r w:rsidRPr="003F5E09">
        <w:rPr>
          <w:rFonts w:eastAsia="Times New Roman"/>
          <w:szCs w:val="24"/>
        </w:rPr>
        <w:t>«3.4.5. Профессиональная квалификационная группа «Общеотраслевые должности служащих четвертого уровня». Минимальный размер должностного оклада – 16 542 рубля.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F5E09" w:rsidRPr="003F5E09" w14:paraId="369022D8" w14:textId="77777777" w:rsidTr="006414DB">
        <w:trPr>
          <w:jc w:val="center"/>
        </w:trPr>
        <w:tc>
          <w:tcPr>
            <w:tcW w:w="2392" w:type="dxa"/>
          </w:tcPr>
          <w:p w14:paraId="042D8221" w14:textId="77777777" w:rsidR="003F5E09" w:rsidRPr="003F5E09" w:rsidRDefault="003F5E09" w:rsidP="003F5E09">
            <w:pPr>
              <w:ind w:firstLine="4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Квалификационные уровни</w:t>
            </w:r>
          </w:p>
        </w:tc>
        <w:tc>
          <w:tcPr>
            <w:tcW w:w="2393" w:type="dxa"/>
          </w:tcPr>
          <w:p w14:paraId="60E5E60E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2393" w:type="dxa"/>
          </w:tcPr>
          <w:p w14:paraId="6EB79E85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Повышающий коэффициент</w:t>
            </w:r>
          </w:p>
        </w:tc>
        <w:tc>
          <w:tcPr>
            <w:tcW w:w="2393" w:type="dxa"/>
          </w:tcPr>
          <w:p w14:paraId="154942B0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Должностной оклад (рублей)</w:t>
            </w:r>
          </w:p>
        </w:tc>
      </w:tr>
      <w:tr w:rsidR="003F5E09" w:rsidRPr="003F5E09" w14:paraId="14DCF762" w14:textId="77777777" w:rsidTr="006414DB">
        <w:trPr>
          <w:jc w:val="center"/>
        </w:trPr>
        <w:tc>
          <w:tcPr>
            <w:tcW w:w="2392" w:type="dxa"/>
          </w:tcPr>
          <w:p w14:paraId="52958831" w14:textId="77777777" w:rsidR="003F5E09" w:rsidRPr="003F5E09" w:rsidRDefault="003F5E09" w:rsidP="003F5E09">
            <w:pPr>
              <w:ind w:firstLine="4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2 квалификационный уровень</w:t>
            </w:r>
          </w:p>
        </w:tc>
        <w:tc>
          <w:tcPr>
            <w:tcW w:w="2393" w:type="dxa"/>
          </w:tcPr>
          <w:p w14:paraId="4D96A3D4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главный бухгалтер, главный экономист</w:t>
            </w:r>
          </w:p>
        </w:tc>
        <w:tc>
          <w:tcPr>
            <w:tcW w:w="2393" w:type="dxa"/>
          </w:tcPr>
          <w:p w14:paraId="2717E8AA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1,1</w:t>
            </w:r>
          </w:p>
        </w:tc>
        <w:tc>
          <w:tcPr>
            <w:tcW w:w="2393" w:type="dxa"/>
          </w:tcPr>
          <w:p w14:paraId="5B4583C5" w14:textId="77777777" w:rsidR="003F5E09" w:rsidRPr="003F5E09" w:rsidRDefault="003F5E09" w:rsidP="003F5E0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F5E09">
              <w:rPr>
                <w:rFonts w:eastAsia="Times New Roman"/>
                <w:szCs w:val="24"/>
              </w:rPr>
              <w:t>18 196</w:t>
            </w:r>
          </w:p>
        </w:tc>
      </w:tr>
    </w:tbl>
    <w:p w14:paraId="7C0B23C5" w14:textId="77777777" w:rsidR="003F5E09" w:rsidRDefault="003F5E09" w:rsidP="003F5E09">
      <w:pPr>
        <w:pStyle w:val="af2"/>
        <w:shd w:val="clear" w:color="auto" w:fill="FFFFFF"/>
        <w:spacing w:line="276" w:lineRule="auto"/>
        <w:jc w:val="both"/>
        <w:rPr>
          <w:sz w:val="28"/>
          <w:szCs w:val="28"/>
        </w:rPr>
      </w:pPr>
    </w:p>
    <w:p w14:paraId="52682D1C" w14:textId="14637C58" w:rsidR="003F5E09" w:rsidRPr="003F5E09" w:rsidRDefault="003F5E09" w:rsidP="003F5E09">
      <w:pPr>
        <w:spacing w:line="360" w:lineRule="auto"/>
        <w:ind w:firstLine="567"/>
      </w:pPr>
      <w:r w:rsidRPr="003F5E09">
        <w:t>2. Отделу организационно - 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01975E6C" w14:textId="77777777" w:rsidR="003F5E09" w:rsidRPr="003F5E09" w:rsidRDefault="003F5E09" w:rsidP="003F5E09">
      <w:pPr>
        <w:spacing w:line="360" w:lineRule="auto"/>
        <w:ind w:firstLine="567"/>
      </w:pPr>
      <w:r w:rsidRPr="003F5E09">
        <w:t>3. Настоящее постановление вступает в силу с момента его официального опубликования и распространяет свое действие на правоотношения, возникшие с 01 октября 2023 года.</w:t>
      </w:r>
    </w:p>
    <w:p w14:paraId="270E0125" w14:textId="1322AA55" w:rsidR="003F5E09" w:rsidRPr="003F5E09" w:rsidRDefault="003F5E09" w:rsidP="003F5E09">
      <w:pPr>
        <w:spacing w:line="360" w:lineRule="auto"/>
        <w:ind w:firstLine="567"/>
      </w:pPr>
      <w:r w:rsidRPr="003F5E09">
        <w:t>4. Контроль за исполнением настоящего постановления возложить на заместителя главы администрации - начальника финансового управления (Виноградова А.М.).</w:t>
      </w:r>
    </w:p>
    <w:p w14:paraId="5F4EACDA" w14:textId="33ED2E9C" w:rsidR="003F5E09" w:rsidRPr="003F5E09" w:rsidRDefault="003F5E09" w:rsidP="003F5E09">
      <w:pPr>
        <w:ind w:firstLine="0"/>
      </w:pPr>
    </w:p>
    <w:p w14:paraId="684A0651" w14:textId="77777777" w:rsidR="003F5E09" w:rsidRPr="003F5E09" w:rsidRDefault="003F5E09" w:rsidP="003F5E09">
      <w:pPr>
        <w:ind w:firstLine="0"/>
      </w:pPr>
    </w:p>
    <w:p w14:paraId="7AE12EC8" w14:textId="15CAD8B2" w:rsidR="003F5E09" w:rsidRPr="003F5E09" w:rsidRDefault="003F5E09" w:rsidP="003F5E09">
      <w:pPr>
        <w:ind w:firstLine="0"/>
      </w:pPr>
      <w:r w:rsidRPr="003F5E09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F5E09">
        <w:t>А.В. Дранишников</w:t>
      </w:r>
    </w:p>
    <w:sectPr w:rsidR="003F5E09" w:rsidRPr="003F5E09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D4264" w14:textId="77777777" w:rsidR="0034179C" w:rsidRDefault="0034179C" w:rsidP="007F0268">
      <w:r>
        <w:separator/>
      </w:r>
    </w:p>
  </w:endnote>
  <w:endnote w:type="continuationSeparator" w:id="0">
    <w:p w14:paraId="01DD648A" w14:textId="77777777" w:rsidR="0034179C" w:rsidRDefault="0034179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6CAC9" w14:textId="77777777" w:rsidR="0034179C" w:rsidRDefault="0034179C" w:rsidP="007F0268">
      <w:r>
        <w:separator/>
      </w:r>
    </w:p>
  </w:footnote>
  <w:footnote w:type="continuationSeparator" w:id="0">
    <w:p w14:paraId="6095A840" w14:textId="77777777" w:rsidR="0034179C" w:rsidRDefault="0034179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6A"/>
    <w:rsid w:val="00033EE0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79C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5E09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B3D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6BA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styleId="aff4">
    <w:name w:val="Strong"/>
    <w:basedOn w:val="a1"/>
    <w:uiPriority w:val="22"/>
    <w:qFormat/>
    <w:rsid w:val="003F5E09"/>
    <w:rPr>
      <w:b/>
      <w:bCs/>
    </w:rPr>
  </w:style>
  <w:style w:type="character" w:styleId="aff5">
    <w:name w:val="Emphasis"/>
    <w:basedOn w:val="a1"/>
    <w:uiPriority w:val="20"/>
    <w:qFormat/>
    <w:rsid w:val="003F5E09"/>
    <w:rPr>
      <w:i/>
      <w:iCs/>
    </w:rPr>
  </w:style>
  <w:style w:type="character" w:customStyle="1" w:styleId="UnresolvedMention">
    <w:name w:val="Unresolved Mention"/>
    <w:basedOn w:val="a1"/>
    <w:uiPriority w:val="99"/>
    <w:semiHidden/>
    <w:unhideWhenUsed/>
    <w:rsid w:val="00033E6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styleId="aff4">
    <w:name w:val="Strong"/>
    <w:basedOn w:val="a1"/>
    <w:uiPriority w:val="22"/>
    <w:qFormat/>
    <w:rsid w:val="003F5E09"/>
    <w:rPr>
      <w:b/>
      <w:bCs/>
    </w:rPr>
  </w:style>
  <w:style w:type="character" w:styleId="aff5">
    <w:name w:val="Emphasis"/>
    <w:basedOn w:val="a1"/>
    <w:uiPriority w:val="20"/>
    <w:qFormat/>
    <w:rsid w:val="003F5E09"/>
    <w:rPr>
      <w:i/>
      <w:iCs/>
    </w:rPr>
  </w:style>
  <w:style w:type="character" w:customStyle="1" w:styleId="UnresolvedMention">
    <w:name w:val="Unresolved Mention"/>
    <w:basedOn w:val="a1"/>
    <w:uiPriority w:val="99"/>
    <w:semiHidden/>
    <w:unhideWhenUsed/>
    <w:rsid w:val="00033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AB5CD-7F2F-4E8F-BEC5-1D639F63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2023-10-06T08:16:00Z</dcterms:created>
  <dcterms:modified xsi:type="dcterms:W3CDTF">2023-10-06T12:22:00Z</dcterms:modified>
</cp:coreProperties>
</file>