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65" w:rsidRDefault="00E63119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CE1C65" w:rsidRDefault="00E63119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CE1C65" w:rsidRDefault="00E63119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CE1C65" w:rsidRDefault="00CE1C6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CE1C65" w:rsidRDefault="00E63119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CE1C65" w:rsidRDefault="00CE1C6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CE1C65" w:rsidRDefault="00E63119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24.09.2018г. № 1911</w:t>
      </w:r>
    </w:p>
    <w:p w:rsidR="00CE1C65" w:rsidRDefault="00CE1C6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0" w:name="_GoBack"/>
    </w:p>
    <w:p w:rsidR="00CE1C65" w:rsidRDefault="00E631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разработке проекта о внесении изменений в Генеральный план муниципального образования «</w:t>
      </w:r>
      <w:proofErr w:type="spellStart"/>
      <w:r>
        <w:rPr>
          <w:b/>
          <w:sz w:val="28"/>
          <w:szCs w:val="28"/>
        </w:rPr>
        <w:t>Шеляуховский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муниципального района Нижегородской области</w:t>
      </w:r>
    </w:p>
    <w:bookmarkEnd w:id="0"/>
    <w:p w:rsidR="00CE1C65" w:rsidRDefault="00CE1C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C65" w:rsidRDefault="00E63119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24 Градостроительного кодекса Российской Федерации, решением Земского собрания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09 ноября 2017 года № 108 «О принятии администрацией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осуществления части полномочий администрацией муниципальных образований «рабочий поселок Гидроторф», «рабочий поселок Большое Козино» «рабочий поселок Малое Козино», «</w:t>
      </w:r>
      <w:proofErr w:type="spellStart"/>
      <w:r>
        <w:rPr>
          <w:sz w:val="28"/>
          <w:szCs w:val="28"/>
        </w:rPr>
        <w:t>Коневский</w:t>
      </w:r>
      <w:proofErr w:type="spellEnd"/>
      <w:r>
        <w:rPr>
          <w:sz w:val="28"/>
          <w:szCs w:val="28"/>
        </w:rPr>
        <w:t xml:space="preserve"> сельсовет», «</w:t>
      </w:r>
      <w:proofErr w:type="spellStart"/>
      <w:r>
        <w:rPr>
          <w:sz w:val="28"/>
          <w:szCs w:val="28"/>
        </w:rPr>
        <w:t>Кочергинский</w:t>
      </w:r>
      <w:proofErr w:type="spellEnd"/>
      <w:r>
        <w:rPr>
          <w:sz w:val="28"/>
          <w:szCs w:val="28"/>
        </w:rPr>
        <w:t xml:space="preserve"> сельсовет»,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сельсовет», на основании протокола заседания Комиссии по землепользованию</w:t>
      </w:r>
      <w:proofErr w:type="gramEnd"/>
      <w:r>
        <w:rPr>
          <w:sz w:val="28"/>
          <w:szCs w:val="28"/>
        </w:rPr>
        <w:t xml:space="preserve"> и застройке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от 7 сентября 2018 года № 5, администрация района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CE1C65" w:rsidRDefault="00E63119">
      <w:pPr>
        <w:pStyle w:val="11"/>
        <w:numPr>
          <w:ilvl w:val="0"/>
          <w:numId w:val="4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решение о подготовке проекта о внесении изменений в Генеральный план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области, утвержденный решением сельского Совета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22.12.2009 № 45 (далее – Генеральный план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сельсовет»).</w:t>
      </w:r>
    </w:p>
    <w:p w:rsidR="00CE1C65" w:rsidRDefault="00E63119">
      <w:pPr>
        <w:pStyle w:val="11"/>
        <w:numPr>
          <w:ilvl w:val="0"/>
          <w:numId w:val="4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градостроительства и землепользования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CE1C65" w:rsidRDefault="00E63119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подготовку изменений в Генеральный план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 в части:</w:t>
      </w:r>
    </w:p>
    <w:p w:rsidR="00CE1C65" w:rsidRDefault="00E63119">
      <w:pPr>
        <w:pStyle w:val="11"/>
        <w:numPr>
          <w:ilvl w:val="2"/>
          <w:numId w:val="6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Включения в границы населенного пункта д. </w:t>
      </w:r>
      <w:proofErr w:type="spellStart"/>
      <w:r>
        <w:rPr>
          <w:sz w:val="28"/>
          <w:szCs w:val="28"/>
        </w:rPr>
        <w:t>Гумнищи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земельных участков с кадастровыми номерами: 52:17:0020501:513, 52:17:0020501:516, 52:17:0020501:519, 52:17:0020501:520, 52:17:0020501:521; части земельных участков с кадастровыми номерами: 52:17:0020501:517, 52:17:0020501:518.</w:t>
      </w:r>
      <w:proofErr w:type="gramEnd"/>
    </w:p>
    <w:p w:rsidR="00CE1C65" w:rsidRDefault="00E63119">
      <w:pPr>
        <w:pStyle w:val="11"/>
        <w:numPr>
          <w:ilvl w:val="2"/>
          <w:numId w:val="6"/>
        </w:numPr>
        <w:tabs>
          <w:tab w:val="left" w:pos="708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функционального зонирования территории в измененных границах д. </w:t>
      </w:r>
      <w:proofErr w:type="spellStart"/>
      <w:r>
        <w:rPr>
          <w:sz w:val="28"/>
          <w:szCs w:val="28"/>
        </w:rPr>
        <w:t>Гумнищи</w:t>
      </w:r>
      <w:proofErr w:type="spellEnd"/>
      <w:r>
        <w:rPr>
          <w:sz w:val="28"/>
          <w:szCs w:val="28"/>
        </w:rPr>
        <w:t xml:space="preserve"> с зон «зона сельскохозяйственного назначения (луга, сенокосы, пастбища)» и «леса» на зону «территория индивидуальной жилой застройки с приусадебными участками, инвестиционные площадки»;</w:t>
      </w:r>
    </w:p>
    <w:p w:rsidR="00CE1C65" w:rsidRDefault="00E63119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В течение трех дней со дня принятия решения о подготовке проекта о внесении изменений в Генеральный план</w:t>
      </w:r>
      <w:proofErr w:type="gramEnd"/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 направить настоящее постановление главе администрации муниципального образования «</w:t>
      </w:r>
      <w:proofErr w:type="spellStart"/>
      <w:r>
        <w:rPr>
          <w:sz w:val="28"/>
          <w:szCs w:val="28"/>
        </w:rPr>
        <w:t>Шеляуховский</w:t>
      </w:r>
      <w:proofErr w:type="spellEnd"/>
      <w:r>
        <w:rPr>
          <w:sz w:val="28"/>
          <w:szCs w:val="28"/>
        </w:rPr>
        <w:t xml:space="preserve"> сельсовет» для его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CE1C65" w:rsidRDefault="00E63119">
      <w:pPr>
        <w:pStyle w:val="11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организационно-протокольной работы управления делами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E1C65" w:rsidRDefault="00CE1C65">
      <w:pPr>
        <w:pStyle w:val="11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CE1C65" w:rsidRDefault="00CE1C65">
      <w:pPr>
        <w:pStyle w:val="11"/>
        <w:tabs>
          <w:tab w:val="left" w:pos="708"/>
        </w:tabs>
        <w:ind w:firstLine="567"/>
        <w:jc w:val="both"/>
        <w:rPr>
          <w:sz w:val="28"/>
          <w:szCs w:val="28"/>
        </w:rPr>
      </w:pPr>
    </w:p>
    <w:p w:rsidR="00CE1C65" w:rsidRDefault="00E63119">
      <w:pPr>
        <w:pStyle w:val="11"/>
        <w:tabs>
          <w:tab w:val="left" w:pos="708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Вр.и</w:t>
      </w:r>
      <w:proofErr w:type="gramEnd"/>
      <w:r>
        <w:rPr>
          <w:sz w:val="28"/>
          <w:szCs w:val="28"/>
        </w:rPr>
        <w:t>.п</w:t>
      </w:r>
      <w:proofErr w:type="spellEnd"/>
      <w:r>
        <w:rPr>
          <w:sz w:val="28"/>
          <w:szCs w:val="28"/>
        </w:rPr>
        <w:t>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Левкович</w:t>
      </w:r>
    </w:p>
    <w:p w:rsidR="00CE1C65" w:rsidRDefault="00CE1C6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sectPr w:rsidR="00CE1C65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65" w:rsidRDefault="00E63119">
      <w:r>
        <w:separator/>
      </w:r>
    </w:p>
  </w:endnote>
  <w:endnote w:type="continuationSeparator" w:id="0">
    <w:p w:rsidR="00CE1C65" w:rsidRDefault="00E6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65" w:rsidRDefault="00E63119">
      <w:r>
        <w:separator/>
      </w:r>
    </w:p>
  </w:footnote>
  <w:footnote w:type="continuationSeparator" w:id="0">
    <w:p w:rsidR="00CE1C65" w:rsidRDefault="00E6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65" w:rsidRDefault="00E63119">
    <w:pPr>
      <w:pStyle w:val="a6"/>
      <w:tabs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25AD29EC"/>
    <w:multiLevelType w:val="multilevel"/>
    <w:tmpl w:val="E5F2FB0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45" w:hanging="720"/>
      </w:pPr>
    </w:lvl>
    <w:lvl w:ilvl="2">
      <w:start w:val="1"/>
      <w:numFmt w:val="decimal"/>
      <w:lvlText w:val="%1.%2.%3."/>
      <w:lvlJc w:val="left"/>
      <w:pPr>
        <w:ind w:left="1170" w:hanging="720"/>
      </w:pPr>
    </w:lvl>
    <w:lvl w:ilvl="3">
      <w:start w:val="1"/>
      <w:numFmt w:val="decimal"/>
      <w:lvlText w:val="%1.%2.%3.%4."/>
      <w:lvlJc w:val="left"/>
      <w:pPr>
        <w:ind w:left="1755" w:hanging="1080"/>
      </w:pPr>
    </w:lvl>
    <w:lvl w:ilvl="4">
      <w:start w:val="1"/>
      <w:numFmt w:val="decimal"/>
      <w:lvlText w:val="%1.%2.%3.%4.%5."/>
      <w:lvlJc w:val="left"/>
      <w:pPr>
        <w:ind w:left="1980" w:hanging="1080"/>
      </w:pPr>
    </w:lvl>
    <w:lvl w:ilvl="5">
      <w:start w:val="1"/>
      <w:numFmt w:val="decimal"/>
      <w:lvlText w:val="%1.%2.%3.%4.%5.%6."/>
      <w:lvlJc w:val="left"/>
      <w:pPr>
        <w:ind w:left="2565" w:hanging="1440"/>
      </w:pPr>
    </w:lvl>
    <w:lvl w:ilvl="6">
      <w:start w:val="1"/>
      <w:numFmt w:val="decimal"/>
      <w:lvlText w:val="%1.%2.%3.%4.%5.%6.%7."/>
      <w:lvlJc w:val="left"/>
      <w:pPr>
        <w:ind w:left="3150" w:hanging="1800"/>
      </w:pPr>
    </w:lvl>
    <w:lvl w:ilvl="7">
      <w:start w:val="1"/>
      <w:numFmt w:val="decimal"/>
      <w:lvlText w:val="%1.%2.%3.%4.%5.%6.%7.%8."/>
      <w:lvlJc w:val="left"/>
      <w:pPr>
        <w:ind w:left="3375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">
    <w:nsid w:val="27DC5AFF"/>
    <w:multiLevelType w:val="hybridMultilevel"/>
    <w:tmpl w:val="2B0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19"/>
    <w:rsid w:val="00CE1C65"/>
    <w:rsid w:val="00DF0FEC"/>
    <w:rsid w:val="00E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2023-01-27T06:00:00Z</dcterms:created>
  <dcterms:modified xsi:type="dcterms:W3CDTF">2023-01-27T06:00:00Z</dcterms:modified>
</cp:coreProperties>
</file>