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1FD4" w:rsidRPr="001A7627" w:rsidRDefault="00031FD4" w:rsidP="005E2028">
      <w:pPr>
        <w:tabs>
          <w:tab w:val="left" w:pos="3440"/>
          <w:tab w:val="center" w:pos="5245"/>
          <w:tab w:val="right" w:pos="9072"/>
        </w:tabs>
        <w:jc w:val="center"/>
        <w:rPr>
          <w:b/>
          <w:szCs w:val="24"/>
          <w:lang w:eastAsia="ru-RU"/>
        </w:rPr>
      </w:pPr>
      <w:r w:rsidRPr="001A7627">
        <w:rPr>
          <w:b/>
          <w:szCs w:val="24"/>
          <w:lang w:eastAsia="ru-RU"/>
        </w:rPr>
        <w:t>Информация</w:t>
      </w:r>
    </w:p>
    <w:p w:rsidR="00F43133" w:rsidRPr="001A7627" w:rsidRDefault="00031FD4" w:rsidP="00E25C3C">
      <w:pPr>
        <w:tabs>
          <w:tab w:val="right" w:pos="9072"/>
        </w:tabs>
        <w:jc w:val="center"/>
        <w:rPr>
          <w:b/>
          <w:bCs/>
          <w:szCs w:val="24"/>
          <w:lang w:eastAsia="ru-RU"/>
        </w:rPr>
      </w:pPr>
      <w:r w:rsidRPr="001A7627">
        <w:rPr>
          <w:b/>
          <w:bCs/>
          <w:szCs w:val="24"/>
          <w:lang w:eastAsia="ru-RU"/>
        </w:rPr>
        <w:t>об основных итогах экспертно-аналитического мероприятия</w:t>
      </w:r>
    </w:p>
    <w:p w:rsidR="00737DF9" w:rsidRPr="00737DF9" w:rsidRDefault="00737DF9" w:rsidP="00737DF9">
      <w:pPr>
        <w:ind w:firstLine="0"/>
        <w:jc w:val="center"/>
        <w:rPr>
          <w:szCs w:val="24"/>
          <w:lang w:eastAsia="ru-RU"/>
        </w:rPr>
      </w:pPr>
      <w:r w:rsidRPr="00737DF9">
        <w:rPr>
          <w:rFonts w:eastAsia="SimSun"/>
          <w:b/>
          <w:szCs w:val="24"/>
        </w:rPr>
        <w:t>«Экспертиза проектов решений Совета депутатов Балахнинского муниципального округа</w:t>
      </w:r>
      <w:r w:rsidRPr="00737DF9">
        <w:rPr>
          <w:rFonts w:eastAsia="SimSun"/>
          <w:szCs w:val="24"/>
        </w:rPr>
        <w:t xml:space="preserve"> </w:t>
      </w:r>
      <w:r w:rsidRPr="00737DF9">
        <w:rPr>
          <w:rFonts w:eastAsia="SimSun"/>
          <w:b/>
          <w:szCs w:val="24"/>
        </w:rPr>
        <w:t>«О внесении изменений и дополнений в решение Совета депутатов Балахнинского муниципального округа от 14.12.2023 № 541 «О бюджете Балахнинского муниципального округа на 2024 год и на плановый период 2025 и 2026 годов»</w:t>
      </w:r>
      <w:r w:rsidRPr="00737DF9">
        <w:rPr>
          <w:rFonts w:eastAsia="SimSun"/>
          <w:szCs w:val="24"/>
        </w:rPr>
        <w:t xml:space="preserve"> </w:t>
      </w:r>
    </w:p>
    <w:p w:rsidR="00F22AEB" w:rsidRPr="00737DF9" w:rsidRDefault="00031FD4" w:rsidP="00751D5C">
      <w:pPr>
        <w:pStyle w:val="a3"/>
        <w:jc w:val="both"/>
        <w:rPr>
          <w:bCs/>
          <w:szCs w:val="24"/>
          <w:lang w:eastAsia="ru-RU"/>
        </w:rPr>
      </w:pPr>
      <w:r w:rsidRPr="00737DF9">
        <w:rPr>
          <w:szCs w:val="24"/>
          <w:lang w:eastAsia="ru-RU"/>
        </w:rPr>
        <w:t xml:space="preserve">В соответствии </w:t>
      </w:r>
      <w:r w:rsidR="004578FE" w:rsidRPr="00737DF9">
        <w:rPr>
          <w:szCs w:val="24"/>
          <w:lang w:eastAsia="ru-RU"/>
        </w:rPr>
        <w:t>с п. 1.</w:t>
      </w:r>
      <w:r w:rsidR="00737DF9" w:rsidRPr="00737DF9">
        <w:rPr>
          <w:szCs w:val="24"/>
          <w:lang w:eastAsia="ru-RU"/>
        </w:rPr>
        <w:t>6</w:t>
      </w:r>
      <w:r w:rsidR="00047C96" w:rsidRPr="00737DF9">
        <w:rPr>
          <w:szCs w:val="24"/>
          <w:lang w:eastAsia="ru-RU"/>
        </w:rPr>
        <w:t>. плана работы на 202</w:t>
      </w:r>
      <w:r w:rsidR="000F7C51" w:rsidRPr="00737DF9">
        <w:rPr>
          <w:szCs w:val="24"/>
          <w:lang w:eastAsia="ru-RU"/>
        </w:rPr>
        <w:t>4</w:t>
      </w:r>
      <w:r w:rsidR="00047C96" w:rsidRPr="00737DF9">
        <w:rPr>
          <w:szCs w:val="24"/>
          <w:lang w:eastAsia="ru-RU"/>
        </w:rPr>
        <w:t xml:space="preserve"> год </w:t>
      </w:r>
      <w:r w:rsidRPr="00737DF9">
        <w:rPr>
          <w:szCs w:val="24"/>
          <w:lang w:eastAsia="ru-RU"/>
        </w:rPr>
        <w:t xml:space="preserve">Контрольно-счетной палатой Балахнинского муниципального округа проведено </w:t>
      </w:r>
      <w:r w:rsidRPr="00737DF9">
        <w:rPr>
          <w:bCs/>
          <w:szCs w:val="24"/>
          <w:lang w:eastAsia="ru-RU"/>
        </w:rPr>
        <w:t xml:space="preserve">экспертно-аналитическое мероприятие </w:t>
      </w:r>
      <w:r w:rsidR="00737DF9" w:rsidRPr="00737DF9">
        <w:rPr>
          <w:bCs/>
          <w:szCs w:val="24"/>
          <w:lang w:eastAsia="ru-RU"/>
        </w:rPr>
        <w:t>«Экспертиза проектов решений Совета депутатов Балахнинского муниципального округа «О внесении изменений и дополнений в решение Совета депутатов Балахнинского муниципального округа от 14.12.2023 № 541 «О бюджете Балахнинского муниципального округа на 2024 год и на плановый период 2025 и 2026 годов».</w:t>
      </w:r>
    </w:p>
    <w:p w:rsidR="00737DF9" w:rsidRPr="00A92220" w:rsidRDefault="00031FD4" w:rsidP="00737DF9">
      <w:pPr>
        <w:ind w:firstLine="709"/>
        <w:jc w:val="both"/>
        <w:rPr>
          <w:lang w:eastAsia="ru-RU"/>
        </w:rPr>
      </w:pPr>
      <w:r w:rsidRPr="00737DF9">
        <w:rPr>
          <w:b/>
          <w:szCs w:val="24"/>
          <w:lang w:eastAsia="ru-RU"/>
        </w:rPr>
        <w:t>Цель мероприятия:</w:t>
      </w:r>
      <w:r w:rsidRPr="00737DF9">
        <w:rPr>
          <w:szCs w:val="24"/>
          <w:lang w:eastAsia="ru-RU"/>
        </w:rPr>
        <w:t xml:space="preserve"> </w:t>
      </w:r>
      <w:r w:rsidR="00737DF9" w:rsidRPr="00737DF9">
        <w:rPr>
          <w:lang w:eastAsia="ru-RU"/>
        </w:rPr>
        <w:t xml:space="preserve">установить </w:t>
      </w:r>
      <w:bookmarkStart w:id="0" w:name="_Hlk30665512"/>
      <w:r w:rsidR="00737DF9" w:rsidRPr="00A92220">
        <w:rPr>
          <w:lang w:eastAsia="ru-RU"/>
        </w:rPr>
        <w:t xml:space="preserve">соответствие предлагаемых изменений в основные характеристики бюджета Балахнинского муниципального округа на 2024 год и на плановый период 2025 и 2026 годов действующему бюджетному законодательству Российской Федерации и нормативным правовым актам Нижегородской области и Балахнинского муниципального </w:t>
      </w:r>
      <w:bookmarkEnd w:id="0"/>
      <w:r w:rsidR="00737DF9" w:rsidRPr="00A92220">
        <w:rPr>
          <w:lang w:eastAsia="ru-RU"/>
        </w:rPr>
        <w:t>округа.</w:t>
      </w:r>
    </w:p>
    <w:p w:rsidR="00EC3038" w:rsidRPr="00023806" w:rsidRDefault="00023806" w:rsidP="00751D5C">
      <w:pPr>
        <w:pStyle w:val="a3"/>
        <w:jc w:val="both"/>
        <w:rPr>
          <w:b/>
          <w:szCs w:val="24"/>
        </w:rPr>
      </w:pPr>
      <w:r w:rsidRPr="00023806">
        <w:rPr>
          <w:rFonts w:eastAsia="Times New Roman"/>
          <w:szCs w:val="24"/>
          <w:lang w:eastAsia="ru-RU"/>
        </w:rPr>
        <w:t xml:space="preserve"> </w:t>
      </w:r>
      <w:r w:rsidR="00031FD4" w:rsidRPr="00023806">
        <w:rPr>
          <w:b/>
          <w:szCs w:val="24"/>
        </w:rPr>
        <w:t xml:space="preserve">В результате проведенного мероприятия установлено: </w:t>
      </w:r>
    </w:p>
    <w:p w:rsidR="00737DF9" w:rsidRPr="001B31DA" w:rsidRDefault="00737DF9" w:rsidP="00737DF9">
      <w:pPr>
        <w:tabs>
          <w:tab w:val="left" w:pos="142"/>
        </w:tabs>
        <w:jc w:val="both"/>
        <w:rPr>
          <w:szCs w:val="24"/>
          <w:lang w:eastAsia="ru-RU"/>
        </w:rPr>
      </w:pPr>
      <w:r w:rsidRPr="001B31DA">
        <w:rPr>
          <w:szCs w:val="24"/>
          <w:lang w:eastAsia="ru-RU"/>
        </w:rPr>
        <w:t>1. Проектом решения № 1 предлагается утвердить основные характеристики бюджета Балахнинского муниципального округа в следующих размерах:</w:t>
      </w:r>
    </w:p>
    <w:p w:rsidR="00737DF9" w:rsidRPr="001B31DA" w:rsidRDefault="00737DF9" w:rsidP="00737DF9">
      <w:pPr>
        <w:tabs>
          <w:tab w:val="left" w:pos="142"/>
          <w:tab w:val="left" w:pos="1701"/>
        </w:tabs>
        <w:ind w:firstLine="1985"/>
        <w:rPr>
          <w:szCs w:val="24"/>
          <w:lang w:eastAsia="ru-RU"/>
        </w:rPr>
      </w:pPr>
      <w:r w:rsidRPr="001B31DA">
        <w:rPr>
          <w:szCs w:val="24"/>
          <w:lang w:eastAsia="ru-RU"/>
        </w:rPr>
        <w:t>на 2024 год:</w:t>
      </w:r>
    </w:p>
    <w:p w:rsidR="00737DF9" w:rsidRPr="001B31DA" w:rsidRDefault="00737DF9" w:rsidP="00737DF9">
      <w:pPr>
        <w:tabs>
          <w:tab w:val="left" w:pos="142"/>
        </w:tabs>
        <w:ind w:firstLine="0"/>
        <w:rPr>
          <w:szCs w:val="24"/>
          <w:lang w:eastAsia="ru-RU"/>
        </w:rPr>
      </w:pPr>
      <w:r w:rsidRPr="001B31DA">
        <w:rPr>
          <w:szCs w:val="24"/>
          <w:lang w:eastAsia="ru-RU"/>
        </w:rPr>
        <w:t>- общий объем доходов в сумме 4 405 326,1 тыс. рублей;</w:t>
      </w:r>
    </w:p>
    <w:p w:rsidR="00737DF9" w:rsidRPr="001B31DA" w:rsidRDefault="00737DF9" w:rsidP="00737DF9">
      <w:pPr>
        <w:tabs>
          <w:tab w:val="left" w:pos="142"/>
        </w:tabs>
        <w:ind w:firstLine="0"/>
        <w:rPr>
          <w:szCs w:val="24"/>
          <w:lang w:eastAsia="ru-RU"/>
        </w:rPr>
      </w:pPr>
      <w:r w:rsidRPr="001B31DA">
        <w:rPr>
          <w:szCs w:val="24"/>
          <w:lang w:eastAsia="ru-RU"/>
        </w:rPr>
        <w:t>- общий объем расходов в сумме 4</w:t>
      </w:r>
      <w:r>
        <w:rPr>
          <w:szCs w:val="24"/>
          <w:lang w:eastAsia="ru-RU"/>
        </w:rPr>
        <w:t> </w:t>
      </w:r>
      <w:r w:rsidRPr="001B31DA">
        <w:rPr>
          <w:szCs w:val="24"/>
          <w:lang w:eastAsia="ru-RU"/>
        </w:rPr>
        <w:t>523</w:t>
      </w:r>
      <w:r>
        <w:rPr>
          <w:szCs w:val="24"/>
          <w:lang w:eastAsia="ru-RU"/>
        </w:rPr>
        <w:t xml:space="preserve"> </w:t>
      </w:r>
      <w:r w:rsidRPr="001B31DA">
        <w:rPr>
          <w:szCs w:val="24"/>
          <w:lang w:eastAsia="ru-RU"/>
        </w:rPr>
        <w:t>299,0 тыс. рублей;</w:t>
      </w:r>
    </w:p>
    <w:p w:rsidR="00737DF9" w:rsidRPr="001B31DA" w:rsidRDefault="00737DF9" w:rsidP="00737DF9">
      <w:pPr>
        <w:tabs>
          <w:tab w:val="left" w:pos="142"/>
        </w:tabs>
        <w:ind w:firstLine="0"/>
        <w:rPr>
          <w:szCs w:val="24"/>
          <w:lang w:eastAsia="ru-RU"/>
        </w:rPr>
      </w:pPr>
      <w:r w:rsidRPr="001B31DA">
        <w:rPr>
          <w:szCs w:val="24"/>
          <w:lang w:eastAsia="ru-RU"/>
        </w:rPr>
        <w:t>- размер дефицита в сумме 117 972,9 тыс. рублей.</w:t>
      </w:r>
    </w:p>
    <w:p w:rsidR="00737DF9" w:rsidRPr="001B31DA" w:rsidRDefault="00737DF9" w:rsidP="00737DF9">
      <w:pPr>
        <w:tabs>
          <w:tab w:val="left" w:pos="142"/>
        </w:tabs>
        <w:ind w:firstLine="1985"/>
        <w:rPr>
          <w:szCs w:val="24"/>
          <w:lang w:eastAsia="ru-RU"/>
        </w:rPr>
      </w:pPr>
      <w:r w:rsidRPr="001B31DA">
        <w:rPr>
          <w:szCs w:val="24"/>
          <w:lang w:eastAsia="ru-RU"/>
        </w:rPr>
        <w:t>на 2025 год:</w:t>
      </w:r>
    </w:p>
    <w:p w:rsidR="00737DF9" w:rsidRPr="001B31DA" w:rsidRDefault="00737DF9" w:rsidP="00737DF9">
      <w:pPr>
        <w:tabs>
          <w:tab w:val="left" w:pos="142"/>
        </w:tabs>
        <w:ind w:firstLine="0"/>
        <w:rPr>
          <w:szCs w:val="24"/>
          <w:lang w:eastAsia="ru-RU"/>
        </w:rPr>
      </w:pPr>
      <w:r w:rsidRPr="001B31DA">
        <w:rPr>
          <w:szCs w:val="24"/>
          <w:lang w:eastAsia="ru-RU"/>
        </w:rPr>
        <w:t>- общий объем доходов в сумме 2 719 418,2 тыс. рублей;</w:t>
      </w:r>
    </w:p>
    <w:p w:rsidR="00737DF9" w:rsidRPr="001B31DA" w:rsidRDefault="00737DF9" w:rsidP="00737DF9">
      <w:pPr>
        <w:tabs>
          <w:tab w:val="left" w:pos="142"/>
        </w:tabs>
        <w:ind w:firstLine="0"/>
        <w:rPr>
          <w:szCs w:val="24"/>
          <w:lang w:eastAsia="ru-RU"/>
        </w:rPr>
      </w:pPr>
      <w:r w:rsidRPr="001B31DA">
        <w:rPr>
          <w:szCs w:val="24"/>
          <w:lang w:eastAsia="ru-RU"/>
        </w:rPr>
        <w:t>- общий объем расходов в сумме 2 719 418,2 тыс. рублей;</w:t>
      </w:r>
    </w:p>
    <w:p w:rsidR="00737DF9" w:rsidRPr="001B31DA" w:rsidRDefault="00737DF9" w:rsidP="00737DF9">
      <w:pPr>
        <w:tabs>
          <w:tab w:val="left" w:pos="142"/>
        </w:tabs>
        <w:ind w:firstLine="0"/>
        <w:rPr>
          <w:szCs w:val="24"/>
          <w:lang w:eastAsia="ru-RU"/>
        </w:rPr>
      </w:pPr>
      <w:r w:rsidRPr="001B31DA">
        <w:rPr>
          <w:szCs w:val="24"/>
          <w:lang w:eastAsia="ru-RU"/>
        </w:rPr>
        <w:t>- размер дефицита в сумме 0,0 тыс. рублей.</w:t>
      </w:r>
    </w:p>
    <w:p w:rsidR="00737DF9" w:rsidRPr="001B31DA" w:rsidRDefault="00737DF9" w:rsidP="00737DF9">
      <w:pPr>
        <w:tabs>
          <w:tab w:val="left" w:pos="142"/>
        </w:tabs>
        <w:ind w:firstLine="1985"/>
        <w:rPr>
          <w:szCs w:val="24"/>
          <w:lang w:eastAsia="ru-RU"/>
        </w:rPr>
      </w:pPr>
      <w:r w:rsidRPr="001B31DA">
        <w:rPr>
          <w:szCs w:val="24"/>
          <w:lang w:eastAsia="ru-RU"/>
        </w:rPr>
        <w:t>на 2026 год:</w:t>
      </w:r>
    </w:p>
    <w:p w:rsidR="00737DF9" w:rsidRPr="001B31DA" w:rsidRDefault="00737DF9" w:rsidP="00737DF9">
      <w:pPr>
        <w:tabs>
          <w:tab w:val="left" w:pos="142"/>
        </w:tabs>
        <w:ind w:firstLine="0"/>
        <w:rPr>
          <w:szCs w:val="24"/>
          <w:lang w:eastAsia="ru-RU"/>
        </w:rPr>
      </w:pPr>
      <w:r w:rsidRPr="001B31DA">
        <w:rPr>
          <w:szCs w:val="24"/>
          <w:lang w:eastAsia="ru-RU"/>
        </w:rPr>
        <w:t>- общий объем доходов в сумме 2 763 636,1 тыс. рублей;</w:t>
      </w:r>
    </w:p>
    <w:p w:rsidR="00737DF9" w:rsidRPr="001B31DA" w:rsidRDefault="00737DF9" w:rsidP="00737DF9">
      <w:pPr>
        <w:tabs>
          <w:tab w:val="left" w:pos="142"/>
        </w:tabs>
        <w:ind w:firstLine="0"/>
        <w:rPr>
          <w:szCs w:val="24"/>
          <w:lang w:eastAsia="ru-RU"/>
        </w:rPr>
      </w:pPr>
      <w:r w:rsidRPr="001B31DA">
        <w:rPr>
          <w:szCs w:val="24"/>
          <w:lang w:eastAsia="ru-RU"/>
        </w:rPr>
        <w:t>- общий объем расходов в сумме 2 763 636,1 тыс. рублей;</w:t>
      </w:r>
    </w:p>
    <w:p w:rsidR="00737DF9" w:rsidRPr="001B31DA" w:rsidRDefault="00737DF9" w:rsidP="00737DF9">
      <w:pPr>
        <w:tabs>
          <w:tab w:val="left" w:pos="142"/>
        </w:tabs>
        <w:ind w:firstLine="0"/>
        <w:rPr>
          <w:szCs w:val="24"/>
          <w:lang w:eastAsia="ru-RU"/>
        </w:rPr>
      </w:pPr>
      <w:r w:rsidRPr="001B31DA">
        <w:rPr>
          <w:szCs w:val="24"/>
          <w:lang w:eastAsia="ru-RU"/>
        </w:rPr>
        <w:t>- размер дефицита в сумме 0,0 тыс. рублей.</w:t>
      </w:r>
    </w:p>
    <w:p w:rsidR="00737DF9" w:rsidRPr="001B31DA" w:rsidRDefault="00737DF9" w:rsidP="00737DF9">
      <w:pPr>
        <w:tabs>
          <w:tab w:val="left" w:pos="142"/>
        </w:tabs>
        <w:jc w:val="both"/>
        <w:rPr>
          <w:szCs w:val="24"/>
          <w:lang w:eastAsia="ru-RU"/>
        </w:rPr>
      </w:pPr>
      <w:r w:rsidRPr="001B31DA">
        <w:rPr>
          <w:szCs w:val="24"/>
          <w:lang w:eastAsia="ru-RU"/>
        </w:rPr>
        <w:t>Проектом решения № 2 предлагается утвердить основные характеристики бюджета Балахнинского муниципального округа в следующих размерах:</w:t>
      </w:r>
    </w:p>
    <w:p w:rsidR="00737DF9" w:rsidRPr="001B31DA" w:rsidRDefault="00737DF9" w:rsidP="00737DF9">
      <w:pPr>
        <w:tabs>
          <w:tab w:val="left" w:pos="142"/>
          <w:tab w:val="left" w:pos="1701"/>
        </w:tabs>
        <w:ind w:firstLine="1985"/>
        <w:rPr>
          <w:szCs w:val="24"/>
          <w:lang w:eastAsia="ru-RU"/>
        </w:rPr>
      </w:pPr>
      <w:r w:rsidRPr="001B31DA">
        <w:rPr>
          <w:szCs w:val="24"/>
          <w:lang w:eastAsia="ru-RU"/>
        </w:rPr>
        <w:t>на 2024 год:</w:t>
      </w:r>
    </w:p>
    <w:p w:rsidR="00737DF9" w:rsidRPr="001B31DA" w:rsidRDefault="00737DF9" w:rsidP="00737DF9">
      <w:pPr>
        <w:tabs>
          <w:tab w:val="left" w:pos="142"/>
        </w:tabs>
        <w:ind w:firstLine="0"/>
        <w:rPr>
          <w:szCs w:val="24"/>
          <w:lang w:eastAsia="ru-RU"/>
        </w:rPr>
      </w:pPr>
      <w:r w:rsidRPr="001B31DA">
        <w:rPr>
          <w:szCs w:val="24"/>
          <w:lang w:eastAsia="ru-RU"/>
        </w:rPr>
        <w:t>- общий объем доходов в сумме 4 515 018,2 тыс. рублей;</w:t>
      </w:r>
    </w:p>
    <w:p w:rsidR="00737DF9" w:rsidRPr="001B31DA" w:rsidRDefault="00737DF9" w:rsidP="00737DF9">
      <w:pPr>
        <w:tabs>
          <w:tab w:val="left" w:pos="142"/>
        </w:tabs>
        <w:ind w:firstLine="0"/>
        <w:rPr>
          <w:szCs w:val="24"/>
          <w:lang w:eastAsia="ru-RU"/>
        </w:rPr>
      </w:pPr>
      <w:r w:rsidRPr="001B31DA">
        <w:rPr>
          <w:szCs w:val="24"/>
          <w:lang w:eastAsia="ru-RU"/>
        </w:rPr>
        <w:t>- общий объем расходов в сумме 4 632 991,1 тыс. рублей;</w:t>
      </w:r>
    </w:p>
    <w:p w:rsidR="00737DF9" w:rsidRPr="001B31DA" w:rsidRDefault="00737DF9" w:rsidP="00737DF9">
      <w:pPr>
        <w:tabs>
          <w:tab w:val="left" w:pos="142"/>
        </w:tabs>
        <w:ind w:firstLine="0"/>
        <w:rPr>
          <w:szCs w:val="24"/>
          <w:lang w:eastAsia="ru-RU"/>
        </w:rPr>
      </w:pPr>
      <w:r w:rsidRPr="001B31DA">
        <w:rPr>
          <w:szCs w:val="24"/>
          <w:lang w:eastAsia="ru-RU"/>
        </w:rPr>
        <w:t>- размер дефицита в сумме 117 972,9 тыс. рублей.</w:t>
      </w:r>
    </w:p>
    <w:p w:rsidR="00737DF9" w:rsidRPr="001B31DA" w:rsidRDefault="00737DF9" w:rsidP="00737DF9">
      <w:pPr>
        <w:tabs>
          <w:tab w:val="left" w:pos="142"/>
        </w:tabs>
        <w:ind w:firstLine="1985"/>
        <w:rPr>
          <w:szCs w:val="24"/>
          <w:lang w:eastAsia="ru-RU"/>
        </w:rPr>
      </w:pPr>
      <w:r w:rsidRPr="001B31DA">
        <w:rPr>
          <w:szCs w:val="24"/>
          <w:lang w:eastAsia="ru-RU"/>
        </w:rPr>
        <w:t>на 2025 год:</w:t>
      </w:r>
    </w:p>
    <w:p w:rsidR="00737DF9" w:rsidRPr="001B31DA" w:rsidRDefault="00737DF9" w:rsidP="00737DF9">
      <w:pPr>
        <w:tabs>
          <w:tab w:val="left" w:pos="142"/>
        </w:tabs>
        <w:ind w:firstLine="0"/>
        <w:rPr>
          <w:szCs w:val="24"/>
          <w:lang w:eastAsia="ru-RU"/>
        </w:rPr>
      </w:pPr>
      <w:r w:rsidRPr="001B31DA">
        <w:rPr>
          <w:szCs w:val="24"/>
          <w:lang w:eastAsia="ru-RU"/>
        </w:rPr>
        <w:t>- общий объем доходов в сумме 2 719 418,2 тыс. рублей;</w:t>
      </w:r>
    </w:p>
    <w:p w:rsidR="00737DF9" w:rsidRPr="001B31DA" w:rsidRDefault="00737DF9" w:rsidP="00737DF9">
      <w:pPr>
        <w:tabs>
          <w:tab w:val="left" w:pos="142"/>
        </w:tabs>
        <w:ind w:firstLine="0"/>
        <w:rPr>
          <w:szCs w:val="24"/>
          <w:lang w:eastAsia="ru-RU"/>
        </w:rPr>
      </w:pPr>
      <w:r w:rsidRPr="001B31DA">
        <w:rPr>
          <w:szCs w:val="24"/>
          <w:lang w:eastAsia="ru-RU"/>
        </w:rPr>
        <w:t>- общий объем расходов в сумме 2 719 418,2 тыс. рублей;</w:t>
      </w:r>
    </w:p>
    <w:p w:rsidR="00737DF9" w:rsidRPr="001B31DA" w:rsidRDefault="00737DF9" w:rsidP="00737DF9">
      <w:pPr>
        <w:tabs>
          <w:tab w:val="left" w:pos="142"/>
        </w:tabs>
        <w:ind w:firstLine="0"/>
        <w:rPr>
          <w:szCs w:val="24"/>
          <w:lang w:eastAsia="ru-RU"/>
        </w:rPr>
      </w:pPr>
      <w:r w:rsidRPr="001B31DA">
        <w:rPr>
          <w:szCs w:val="24"/>
          <w:lang w:eastAsia="ru-RU"/>
        </w:rPr>
        <w:t>- размер дефицита в сумме 0,0 тыс. рублей.</w:t>
      </w:r>
    </w:p>
    <w:p w:rsidR="00737DF9" w:rsidRPr="001B31DA" w:rsidRDefault="00737DF9" w:rsidP="00737DF9">
      <w:pPr>
        <w:tabs>
          <w:tab w:val="left" w:pos="142"/>
        </w:tabs>
        <w:ind w:firstLine="1985"/>
        <w:rPr>
          <w:szCs w:val="24"/>
          <w:lang w:eastAsia="ru-RU"/>
        </w:rPr>
      </w:pPr>
      <w:r w:rsidRPr="001B31DA">
        <w:rPr>
          <w:szCs w:val="24"/>
          <w:lang w:eastAsia="ru-RU"/>
        </w:rPr>
        <w:t>на 2026 год:</w:t>
      </w:r>
    </w:p>
    <w:p w:rsidR="00737DF9" w:rsidRPr="001B31DA" w:rsidRDefault="00737DF9" w:rsidP="00737DF9">
      <w:pPr>
        <w:tabs>
          <w:tab w:val="left" w:pos="142"/>
        </w:tabs>
        <w:ind w:firstLine="0"/>
        <w:rPr>
          <w:szCs w:val="24"/>
          <w:lang w:eastAsia="ru-RU"/>
        </w:rPr>
      </w:pPr>
      <w:r w:rsidRPr="001B31DA">
        <w:rPr>
          <w:szCs w:val="24"/>
          <w:lang w:eastAsia="ru-RU"/>
        </w:rPr>
        <w:t>- общий объем доходов в сумме 2 763 636,1 тыс. рублей;</w:t>
      </w:r>
    </w:p>
    <w:p w:rsidR="00737DF9" w:rsidRPr="001B31DA" w:rsidRDefault="00737DF9" w:rsidP="00737DF9">
      <w:pPr>
        <w:tabs>
          <w:tab w:val="left" w:pos="142"/>
        </w:tabs>
        <w:ind w:firstLine="0"/>
        <w:rPr>
          <w:szCs w:val="24"/>
          <w:lang w:eastAsia="ru-RU"/>
        </w:rPr>
      </w:pPr>
      <w:r w:rsidRPr="001B31DA">
        <w:rPr>
          <w:szCs w:val="24"/>
          <w:lang w:eastAsia="ru-RU"/>
        </w:rPr>
        <w:t>- общий объем расходов в сумме 2 763 636,1 тыс. рублей;</w:t>
      </w:r>
    </w:p>
    <w:p w:rsidR="00737DF9" w:rsidRPr="001B31DA" w:rsidRDefault="00737DF9" w:rsidP="00737DF9">
      <w:pPr>
        <w:tabs>
          <w:tab w:val="left" w:pos="142"/>
        </w:tabs>
        <w:ind w:firstLine="0"/>
        <w:rPr>
          <w:szCs w:val="24"/>
          <w:lang w:eastAsia="ru-RU"/>
        </w:rPr>
      </w:pPr>
      <w:r w:rsidRPr="001B31DA">
        <w:rPr>
          <w:szCs w:val="24"/>
          <w:lang w:eastAsia="ru-RU"/>
        </w:rPr>
        <w:t>- размер дефицита в сумме 0,0 тыс. рублей.</w:t>
      </w:r>
    </w:p>
    <w:p w:rsidR="00737DF9" w:rsidRPr="001B31DA" w:rsidRDefault="00737DF9" w:rsidP="00737DF9">
      <w:pPr>
        <w:ind w:firstLine="540"/>
        <w:jc w:val="both"/>
        <w:rPr>
          <w:lang w:eastAsia="ru-RU"/>
        </w:rPr>
      </w:pPr>
      <w:r w:rsidRPr="001B31DA">
        <w:rPr>
          <w:szCs w:val="24"/>
          <w:lang w:eastAsia="ru-RU"/>
        </w:rPr>
        <w:t>2. </w:t>
      </w:r>
      <w:r w:rsidRPr="001B31DA">
        <w:rPr>
          <w:lang w:eastAsia="ru-RU"/>
        </w:rPr>
        <w:t xml:space="preserve">Представленным Проектом решения № 1 предлагается утвердить общий объем доходов на 2024 год в сумме 4 405 326,1 тыс. рублей с уменьшением на 13 423,2 тыс. рублей от плановых назначений по доходам уточненного бюджета. </w:t>
      </w:r>
    </w:p>
    <w:p w:rsidR="00737DF9" w:rsidRPr="001B31DA" w:rsidRDefault="00737DF9" w:rsidP="00737DF9">
      <w:pPr>
        <w:ind w:firstLine="540"/>
        <w:jc w:val="both"/>
        <w:rPr>
          <w:lang w:eastAsia="ru-RU"/>
        </w:rPr>
      </w:pPr>
      <w:r w:rsidRPr="001B31DA">
        <w:rPr>
          <w:lang w:eastAsia="ru-RU"/>
        </w:rPr>
        <w:lastRenderedPageBreak/>
        <w:t xml:space="preserve">Представленным Проектом решения № 2 предлагается утвердить общий объем доходов на 2024 год в сумме 4 515 018,2 тыс. рублей с увеличением на 96 268,9 тыс. рублей от плановых назначений по доходам уточненного бюджета.  </w:t>
      </w:r>
    </w:p>
    <w:p w:rsidR="00737DF9" w:rsidRPr="001B31DA" w:rsidRDefault="00737DF9" w:rsidP="00737DF9">
      <w:pPr>
        <w:ind w:firstLine="540"/>
        <w:jc w:val="both"/>
        <w:rPr>
          <w:lang w:eastAsia="ru-RU"/>
        </w:rPr>
      </w:pPr>
      <w:r w:rsidRPr="001B31DA">
        <w:rPr>
          <w:lang w:eastAsia="ru-RU"/>
        </w:rPr>
        <w:t xml:space="preserve">Проектом решения № 1 плановые назначения по налоговым и неналоговым доходам уменьшены </w:t>
      </w:r>
      <w:r>
        <w:rPr>
          <w:lang w:eastAsia="ru-RU"/>
        </w:rPr>
        <w:t xml:space="preserve">всего </w:t>
      </w:r>
      <w:r w:rsidRPr="001B31DA">
        <w:rPr>
          <w:lang w:eastAsia="ru-RU"/>
        </w:rPr>
        <w:t xml:space="preserve">на сумму 6 626,5 тыс. рублей. </w:t>
      </w:r>
      <w:r>
        <w:rPr>
          <w:lang w:eastAsia="ru-RU"/>
        </w:rPr>
        <w:t xml:space="preserve">Согласно Пояснительной записке к Проекту решения № 1 </w:t>
      </w:r>
      <w:r w:rsidRPr="001B31DA">
        <w:rPr>
          <w:lang w:eastAsia="ru-RU"/>
        </w:rPr>
        <w:t xml:space="preserve">плановые назначения уточнены в соответствии с динамикой исполнения доходной части бюджета Балахнинского муниципального округа по состоянию на 12.12.2024 и с учетом ожидаемого исполнения до конца 2024 года. </w:t>
      </w:r>
    </w:p>
    <w:p w:rsidR="00737DF9" w:rsidRPr="001B31DA" w:rsidRDefault="00737DF9" w:rsidP="00737DF9">
      <w:pPr>
        <w:ind w:firstLine="540"/>
        <w:jc w:val="both"/>
        <w:rPr>
          <w:lang w:eastAsia="ru-RU"/>
        </w:rPr>
      </w:pPr>
      <w:r w:rsidRPr="001B31DA">
        <w:rPr>
          <w:lang w:eastAsia="ru-RU"/>
        </w:rPr>
        <w:t xml:space="preserve">Проектом решения № 2 плановые назначения по налоговым и неналоговым доходам увеличены </w:t>
      </w:r>
      <w:r>
        <w:rPr>
          <w:lang w:eastAsia="ru-RU"/>
        </w:rPr>
        <w:t xml:space="preserve">всего </w:t>
      </w:r>
      <w:r w:rsidRPr="001B31DA">
        <w:rPr>
          <w:lang w:eastAsia="ru-RU"/>
        </w:rPr>
        <w:t xml:space="preserve">на сумму </w:t>
      </w:r>
      <w:r w:rsidRPr="00464C11">
        <w:rPr>
          <w:lang w:eastAsia="ru-RU"/>
        </w:rPr>
        <w:t xml:space="preserve">103 065,6 </w:t>
      </w:r>
      <w:r w:rsidRPr="001B31DA">
        <w:rPr>
          <w:lang w:eastAsia="ru-RU"/>
        </w:rPr>
        <w:t>тыс. рублей</w:t>
      </w:r>
      <w:r>
        <w:rPr>
          <w:lang w:eastAsia="ru-RU"/>
        </w:rPr>
        <w:t xml:space="preserve">, в основном за счет увеличения доходов </w:t>
      </w:r>
      <w:r w:rsidRPr="001B31DA">
        <w:rPr>
          <w:lang w:eastAsia="ru-RU"/>
        </w:rPr>
        <w:t>по налогу на доходы физических лиц</w:t>
      </w:r>
      <w:r>
        <w:rPr>
          <w:lang w:eastAsia="ru-RU"/>
        </w:rPr>
        <w:t>.</w:t>
      </w:r>
    </w:p>
    <w:p w:rsidR="00737DF9" w:rsidRPr="001B31DA" w:rsidRDefault="00737DF9" w:rsidP="00737DF9">
      <w:pPr>
        <w:ind w:firstLine="540"/>
        <w:jc w:val="both"/>
        <w:rPr>
          <w:lang w:eastAsia="ru-RU"/>
        </w:rPr>
      </w:pPr>
      <w:r w:rsidRPr="001B31DA">
        <w:rPr>
          <w:lang w:eastAsia="ru-RU"/>
        </w:rPr>
        <w:t>По безвозмездным поступлениям Проектами решений (№ 1 и № 2) предлагается уменьшить плановые назначения на сумму 6 796,7 тыс. рублей, с 3 213 828,8 тыс. рублей до 3 207 032,1 тыс. рублей, из которых:</w:t>
      </w:r>
    </w:p>
    <w:p w:rsidR="00737DF9" w:rsidRPr="001B31DA" w:rsidRDefault="00737DF9" w:rsidP="00737DF9">
      <w:pPr>
        <w:ind w:firstLine="540"/>
        <w:jc w:val="both"/>
        <w:rPr>
          <w:lang w:eastAsia="ru-RU"/>
        </w:rPr>
      </w:pPr>
      <w:r w:rsidRPr="001B31DA">
        <w:rPr>
          <w:szCs w:val="24"/>
          <w:lang w:eastAsia="ru-RU"/>
        </w:rPr>
        <w:t>- Дотации бюджетам бюджетной системы Российской Федерации увеличить на 1 248,6 тыс. рублей, с 291 536,8 тыс. рублей до 292 785,4 тыс. рублей;</w:t>
      </w:r>
    </w:p>
    <w:p w:rsidR="00737DF9" w:rsidRPr="001B31DA" w:rsidRDefault="00737DF9" w:rsidP="00737DF9">
      <w:pPr>
        <w:ind w:firstLine="540"/>
        <w:jc w:val="both"/>
        <w:rPr>
          <w:lang w:eastAsia="ru-RU"/>
        </w:rPr>
      </w:pPr>
      <w:r w:rsidRPr="001B31DA">
        <w:rPr>
          <w:lang w:eastAsia="ru-RU"/>
        </w:rPr>
        <w:t>- Субсидии бюджетам бюджетной системы Российской Федерации (межбюджетные субсидии) уменьшить на 9 945,0 тыс. рублей, с 1 566 539,2 тыс. рублей до 1 556 594,2 тыс. рублей;</w:t>
      </w:r>
    </w:p>
    <w:p w:rsidR="00737DF9" w:rsidRPr="001B31DA" w:rsidRDefault="00737DF9" w:rsidP="00737DF9">
      <w:pPr>
        <w:ind w:firstLine="540"/>
        <w:jc w:val="both"/>
        <w:rPr>
          <w:lang w:eastAsia="ru-RU"/>
        </w:rPr>
      </w:pPr>
      <w:r w:rsidRPr="001B31DA">
        <w:rPr>
          <w:lang w:eastAsia="ru-RU"/>
        </w:rPr>
        <w:t>- Субвенции бюджетам бюджетной системы Российской Федерации уменьшить на сумму 8 966,2 тыс. рублей, с 1 238 202,3 тыс. рублей до 1 229 236,1 тыс. рублей;</w:t>
      </w:r>
    </w:p>
    <w:p w:rsidR="00737DF9" w:rsidRPr="001B31DA" w:rsidRDefault="00737DF9" w:rsidP="00737DF9">
      <w:pPr>
        <w:ind w:firstLine="540"/>
        <w:jc w:val="both"/>
        <w:rPr>
          <w:lang w:eastAsia="ru-RU"/>
        </w:rPr>
      </w:pPr>
      <w:r w:rsidRPr="001B31DA">
        <w:rPr>
          <w:lang w:eastAsia="ru-RU"/>
        </w:rPr>
        <w:t>- Иные межбюджетные трансферты увеличить на сумму 10 865,9 тыс. рублей, с 150 792,0 тыс. рублей до 161 657,9 тыс. рублей.</w:t>
      </w:r>
    </w:p>
    <w:p w:rsidR="00737DF9" w:rsidRPr="001B31DA" w:rsidRDefault="00737DF9" w:rsidP="00737DF9">
      <w:pPr>
        <w:jc w:val="both"/>
        <w:rPr>
          <w:lang w:eastAsia="ru-RU"/>
        </w:rPr>
      </w:pPr>
      <w:r w:rsidRPr="001B31DA">
        <w:rPr>
          <w:szCs w:val="24"/>
          <w:lang w:eastAsia="ru-RU"/>
        </w:rPr>
        <w:t xml:space="preserve">3. </w:t>
      </w:r>
      <w:r w:rsidRPr="001B31DA">
        <w:rPr>
          <w:lang w:eastAsia="ru-RU"/>
        </w:rPr>
        <w:t xml:space="preserve">Согласно представленным на рассмотрение двум альтернативным Проектам решения </w:t>
      </w:r>
      <w:bookmarkStart w:id="1" w:name="_Hlk185691869"/>
      <w:r>
        <w:rPr>
          <w:lang w:eastAsia="ru-RU"/>
        </w:rPr>
        <w:t>(</w:t>
      </w:r>
      <w:r w:rsidRPr="001B31DA">
        <w:rPr>
          <w:lang w:eastAsia="ru-RU"/>
        </w:rPr>
        <w:t>№ 1 и № 2)</w:t>
      </w:r>
      <w:bookmarkEnd w:id="1"/>
      <w:r w:rsidRPr="001B31DA">
        <w:rPr>
          <w:lang w:eastAsia="ru-RU"/>
        </w:rPr>
        <w:t>, изменения общего объема расходов бюджета Балахнинского муниципального округа на 2024 год:</w:t>
      </w:r>
    </w:p>
    <w:p w:rsidR="00737DF9" w:rsidRPr="001B31DA" w:rsidRDefault="00737DF9" w:rsidP="00737DF9">
      <w:pPr>
        <w:jc w:val="both"/>
        <w:rPr>
          <w:lang w:eastAsia="ru-RU"/>
        </w:rPr>
      </w:pPr>
      <w:r w:rsidRPr="001B31DA">
        <w:rPr>
          <w:lang w:eastAsia="ru-RU"/>
        </w:rPr>
        <w:t>- по Проекту решения № 1 предусмотрены с уменьшением на 13 423,2 тыс. рублей. Общий размер расходов бюджета округа, предложенный к утверждению на 2024 год, составит 4 523 299,0 тыс. рублей;</w:t>
      </w:r>
    </w:p>
    <w:p w:rsidR="00737DF9" w:rsidRPr="001B31DA" w:rsidRDefault="00737DF9" w:rsidP="00737DF9">
      <w:pPr>
        <w:jc w:val="both"/>
        <w:rPr>
          <w:lang w:eastAsia="ru-RU"/>
        </w:rPr>
      </w:pPr>
      <w:r w:rsidRPr="001B31DA">
        <w:rPr>
          <w:lang w:eastAsia="ru-RU"/>
        </w:rPr>
        <w:t>- по Проекту решения № 2 предусмотрены с увеличением на 96 268,9 тыс. рублей. Общий размер расходов бюджета округа, предложенный к утверждению на 2024 год, составит 4 632 991,1 тыс. рублей.</w:t>
      </w:r>
    </w:p>
    <w:p w:rsidR="00737DF9" w:rsidRPr="001B31DA" w:rsidRDefault="00737DF9" w:rsidP="00737DF9">
      <w:pPr>
        <w:jc w:val="both"/>
        <w:rPr>
          <w:lang w:eastAsia="ru-RU"/>
        </w:rPr>
      </w:pPr>
      <w:r w:rsidRPr="001B31DA">
        <w:rPr>
          <w:lang w:eastAsia="ru-RU"/>
        </w:rPr>
        <w:t>На 2025 год Проектами решений</w:t>
      </w:r>
      <w:r>
        <w:rPr>
          <w:lang w:eastAsia="ru-RU"/>
        </w:rPr>
        <w:t xml:space="preserve"> (</w:t>
      </w:r>
      <w:r w:rsidRPr="001B31DA">
        <w:rPr>
          <w:lang w:eastAsia="ru-RU"/>
        </w:rPr>
        <w:t>№ 1 и № 2) предлагается увеличение общего объема расходов на сумму 2 900,6 тыс. рублей</w:t>
      </w:r>
      <w:r>
        <w:rPr>
          <w:lang w:eastAsia="ru-RU"/>
        </w:rPr>
        <w:t xml:space="preserve"> и утвердить в сумме 2 719 418,2 тыс. рублей.</w:t>
      </w:r>
    </w:p>
    <w:p w:rsidR="00737DF9" w:rsidRPr="001B31DA" w:rsidRDefault="00737DF9" w:rsidP="00737DF9">
      <w:pPr>
        <w:jc w:val="both"/>
        <w:rPr>
          <w:lang w:eastAsia="ru-RU"/>
        </w:rPr>
      </w:pPr>
      <w:r w:rsidRPr="001B31DA">
        <w:rPr>
          <w:lang w:eastAsia="ru-RU"/>
        </w:rPr>
        <w:t>Изменений общего объема плановых ассигнований по расходам бюджета на 2026 год Проектами решений</w:t>
      </w:r>
      <w:r>
        <w:rPr>
          <w:lang w:eastAsia="ru-RU"/>
        </w:rPr>
        <w:t xml:space="preserve"> (</w:t>
      </w:r>
      <w:r w:rsidRPr="001B31DA">
        <w:rPr>
          <w:lang w:eastAsia="ru-RU"/>
        </w:rPr>
        <w:t xml:space="preserve">№ 1 и № 2) не предлагается. </w:t>
      </w:r>
    </w:p>
    <w:p w:rsidR="00737DF9" w:rsidRPr="001B31DA" w:rsidRDefault="00737DF9" w:rsidP="00737DF9">
      <w:pPr>
        <w:jc w:val="both"/>
        <w:rPr>
          <w:lang w:eastAsia="ru-RU"/>
        </w:rPr>
      </w:pPr>
      <w:r w:rsidRPr="001B31DA">
        <w:rPr>
          <w:lang w:eastAsia="ru-RU"/>
        </w:rPr>
        <w:t>Плановые расходы в 2025 году составят 2 683 394,1 тыс. рублей (+ 36 024,1 тыс. рублей условно утверждаемые расходы) = 2 719 418,2 тыс. рублей, в 2026 году 2 688 841,0 тыс. рублей (+ 74 795,1 тыс. рублей условно утверждаемые расходы) = 2 763 636,1 тыс. рублей.</w:t>
      </w:r>
    </w:p>
    <w:p w:rsidR="00737DF9" w:rsidRPr="001B31DA" w:rsidRDefault="00737DF9" w:rsidP="00737DF9">
      <w:pPr>
        <w:ind w:firstLine="540"/>
        <w:jc w:val="both"/>
        <w:rPr>
          <w:szCs w:val="24"/>
          <w:lang w:eastAsia="ru-RU"/>
        </w:rPr>
      </w:pPr>
      <w:r w:rsidRPr="001B31DA">
        <w:rPr>
          <w:szCs w:val="24"/>
          <w:lang w:eastAsia="ru-RU"/>
        </w:rPr>
        <w:t xml:space="preserve">4. </w:t>
      </w:r>
      <w:r w:rsidRPr="001B31DA">
        <w:rPr>
          <w:lang w:eastAsia="ru-RU"/>
        </w:rPr>
        <w:t>По функциональной классификации расходов бюджетов бюджетной системы Российской Федерации и</w:t>
      </w:r>
      <w:r w:rsidRPr="001B31DA">
        <w:rPr>
          <w:szCs w:val="24"/>
          <w:lang w:eastAsia="ru-RU"/>
        </w:rPr>
        <w:t>зменения плановых назначений Проектами решений предлагаются по следующим разделам:</w:t>
      </w:r>
    </w:p>
    <w:p w:rsidR="00737DF9" w:rsidRPr="001B31DA" w:rsidRDefault="00737DF9" w:rsidP="00737DF9">
      <w:pPr>
        <w:numPr>
          <w:ilvl w:val="0"/>
          <w:numId w:val="28"/>
        </w:numPr>
        <w:tabs>
          <w:tab w:val="left" w:pos="709"/>
        </w:tabs>
        <w:ind w:left="1134" w:hanging="567"/>
        <w:jc w:val="both"/>
        <w:rPr>
          <w:lang w:eastAsia="ru-RU"/>
        </w:rPr>
      </w:pPr>
      <w:r w:rsidRPr="001B31DA">
        <w:rPr>
          <w:lang w:eastAsia="ru-RU"/>
        </w:rPr>
        <w:t xml:space="preserve">по разделу «Общегосударственные вопросы» </w:t>
      </w:r>
    </w:p>
    <w:p w:rsidR="00737DF9" w:rsidRPr="001B31DA" w:rsidRDefault="00737DF9" w:rsidP="00737DF9">
      <w:pPr>
        <w:jc w:val="both"/>
        <w:rPr>
          <w:lang w:eastAsia="ru-RU"/>
        </w:rPr>
      </w:pPr>
      <w:r w:rsidRPr="001B31DA">
        <w:rPr>
          <w:lang w:eastAsia="ru-RU"/>
        </w:rPr>
        <w:t xml:space="preserve">Проектом решения № 1 и Проектом </w:t>
      </w:r>
      <w:r>
        <w:rPr>
          <w:lang w:eastAsia="ru-RU"/>
        </w:rPr>
        <w:t xml:space="preserve">решения </w:t>
      </w:r>
      <w:r w:rsidRPr="001B31DA">
        <w:rPr>
          <w:lang w:eastAsia="ru-RU"/>
        </w:rPr>
        <w:t>№ 2 предлагается плановые назначения на 2024 год по данному разделу уменьшить на сумму 2 224,6 тыс. рублей. В результате расходы по разделу «Общегосударственные вопросы» на 2024 год составят 383 240,8 тыс. рублей.</w:t>
      </w:r>
    </w:p>
    <w:p w:rsidR="00737DF9" w:rsidRPr="001B31DA" w:rsidRDefault="00737DF9" w:rsidP="00737DF9">
      <w:pPr>
        <w:jc w:val="both"/>
        <w:rPr>
          <w:lang w:eastAsia="ru-RU"/>
        </w:rPr>
      </w:pPr>
      <w:r w:rsidRPr="001B31DA">
        <w:rPr>
          <w:szCs w:val="24"/>
          <w:lang w:eastAsia="ru-RU"/>
        </w:rPr>
        <w:t xml:space="preserve">Представленными Проектами решений предлагается уменьшить плановые назначения на 2025 год, всего на сумму 22 275,2 тыс. рублей. </w:t>
      </w:r>
    </w:p>
    <w:p w:rsidR="00737DF9" w:rsidRPr="001B31DA" w:rsidRDefault="00737DF9" w:rsidP="00737DF9">
      <w:pPr>
        <w:jc w:val="both"/>
        <w:rPr>
          <w:szCs w:val="24"/>
          <w:lang w:eastAsia="ru-RU"/>
        </w:rPr>
      </w:pPr>
      <w:r w:rsidRPr="001B31DA">
        <w:rPr>
          <w:szCs w:val="24"/>
          <w:lang w:eastAsia="ru-RU"/>
        </w:rPr>
        <w:lastRenderedPageBreak/>
        <w:t xml:space="preserve">На 2026 год представленными Проектами решений предлагается уменьшить плановые назначения всего на сумму 13 405,1 тыс. рублей </w:t>
      </w:r>
      <w:r>
        <w:rPr>
          <w:szCs w:val="24"/>
          <w:lang w:eastAsia="ru-RU"/>
        </w:rPr>
        <w:t xml:space="preserve">по </w:t>
      </w:r>
      <w:r w:rsidRPr="001B31DA">
        <w:rPr>
          <w:lang w:eastAsia="ru-RU"/>
        </w:rPr>
        <w:t>подразделу 0104 «</w:t>
      </w:r>
      <w:r w:rsidRPr="001B31DA">
        <w:rPr>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рамках непрограммных расходов.</w:t>
      </w:r>
    </w:p>
    <w:p w:rsidR="00737DF9" w:rsidRPr="001B31DA" w:rsidRDefault="00737DF9" w:rsidP="00737DF9">
      <w:pPr>
        <w:jc w:val="both"/>
        <w:rPr>
          <w:szCs w:val="24"/>
          <w:lang w:eastAsia="ru-RU"/>
        </w:rPr>
      </w:pPr>
      <w:r w:rsidRPr="001B31DA">
        <w:rPr>
          <w:szCs w:val="24"/>
          <w:lang w:eastAsia="ru-RU"/>
        </w:rPr>
        <w:t>В результате расходы по разделу «Общегосударственные вопросы» предлагается утвердить на 2025 год в сумме 265 740,2 тыс. рублей, на 2026 год плановые назначения остаются без изменений в сумме 287 452,0 тыс. рублей.</w:t>
      </w:r>
    </w:p>
    <w:p w:rsidR="00737DF9" w:rsidRPr="001B31DA" w:rsidRDefault="00737DF9" w:rsidP="00737DF9">
      <w:pPr>
        <w:numPr>
          <w:ilvl w:val="0"/>
          <w:numId w:val="28"/>
        </w:numPr>
        <w:jc w:val="both"/>
        <w:rPr>
          <w:szCs w:val="24"/>
          <w:lang w:eastAsia="ru-RU"/>
        </w:rPr>
      </w:pPr>
      <w:r w:rsidRPr="001B31DA">
        <w:rPr>
          <w:szCs w:val="24"/>
          <w:lang w:eastAsia="ru-RU"/>
        </w:rPr>
        <w:t>по разделу «Национальная безопасность и правоохранительная деятельность»</w:t>
      </w:r>
    </w:p>
    <w:p w:rsidR="00737DF9" w:rsidRPr="001B31DA" w:rsidRDefault="00737DF9" w:rsidP="00737DF9">
      <w:pPr>
        <w:jc w:val="both"/>
        <w:rPr>
          <w:szCs w:val="24"/>
          <w:lang w:eastAsia="ru-RU"/>
        </w:rPr>
      </w:pPr>
      <w:r w:rsidRPr="001B31DA">
        <w:rPr>
          <w:szCs w:val="24"/>
          <w:lang w:eastAsia="ru-RU"/>
        </w:rPr>
        <w:t>Проектом решения № 1 плановые назначения на 2024 год предлагается уменьшить на сумму 450,2 тыс. рублей. В результате предлагаемых изменений расходы по данному разделу по Проекту решения № 1 составят 24 129,0 тыс. рублей.</w:t>
      </w:r>
    </w:p>
    <w:p w:rsidR="00737DF9" w:rsidRPr="001B31DA" w:rsidRDefault="00737DF9" w:rsidP="00737DF9">
      <w:pPr>
        <w:jc w:val="both"/>
        <w:rPr>
          <w:szCs w:val="24"/>
          <w:lang w:eastAsia="ru-RU"/>
        </w:rPr>
      </w:pPr>
      <w:r w:rsidRPr="001B31DA">
        <w:rPr>
          <w:szCs w:val="24"/>
          <w:lang w:eastAsia="ru-RU"/>
        </w:rPr>
        <w:t>Проектом решения № 2 плановые назначения на 2024 год предлагается увеличить на сумму 39 965,5 тыс. рублей. В результате предлагаемых изменений расходы по данному разделу по Проекту решения № 2 составят 64 544,7 тыс. рублей.</w:t>
      </w:r>
    </w:p>
    <w:p w:rsidR="00737DF9" w:rsidRPr="001B31DA" w:rsidRDefault="00737DF9" w:rsidP="00737DF9">
      <w:pPr>
        <w:pStyle w:val="ab"/>
        <w:numPr>
          <w:ilvl w:val="0"/>
          <w:numId w:val="28"/>
        </w:numPr>
        <w:tabs>
          <w:tab w:val="left" w:pos="709"/>
        </w:tabs>
        <w:suppressAutoHyphens w:val="0"/>
        <w:ind w:hanging="644"/>
        <w:jc w:val="both"/>
        <w:rPr>
          <w:szCs w:val="24"/>
          <w:lang w:eastAsia="ru-RU"/>
        </w:rPr>
      </w:pPr>
      <w:r w:rsidRPr="001B31DA">
        <w:rPr>
          <w:szCs w:val="24"/>
          <w:lang w:eastAsia="ru-RU"/>
        </w:rPr>
        <w:t>по разделу «Национальная экономика»</w:t>
      </w:r>
    </w:p>
    <w:p w:rsidR="00737DF9" w:rsidRPr="001B31DA" w:rsidRDefault="00737DF9" w:rsidP="00737DF9">
      <w:pPr>
        <w:jc w:val="both"/>
        <w:rPr>
          <w:szCs w:val="24"/>
          <w:lang w:eastAsia="ru-RU"/>
        </w:rPr>
      </w:pPr>
      <w:r w:rsidRPr="001B31DA">
        <w:rPr>
          <w:lang w:eastAsia="ru-RU"/>
        </w:rPr>
        <w:t xml:space="preserve">Проектом № 1 и Проектом № 2 </w:t>
      </w:r>
      <w:r w:rsidRPr="001B31DA">
        <w:rPr>
          <w:szCs w:val="24"/>
          <w:lang w:eastAsia="ru-RU"/>
        </w:rPr>
        <w:t xml:space="preserve">плановые назначения на 2024 год предлагается уменьшить на сумму 1 471,6 тыс. рублей. В результате расходы по разделу «Национальная экономика» на 2024 год составят 235 553,2 тыс. рублей. </w:t>
      </w:r>
    </w:p>
    <w:p w:rsidR="00737DF9" w:rsidRPr="001B31DA" w:rsidRDefault="00737DF9" w:rsidP="00737DF9">
      <w:pPr>
        <w:numPr>
          <w:ilvl w:val="0"/>
          <w:numId w:val="28"/>
        </w:numPr>
        <w:tabs>
          <w:tab w:val="left" w:pos="993"/>
        </w:tabs>
        <w:contextualSpacing/>
        <w:jc w:val="both"/>
        <w:rPr>
          <w:lang w:eastAsia="ru-RU"/>
        </w:rPr>
      </w:pPr>
      <w:r w:rsidRPr="001B31DA">
        <w:rPr>
          <w:lang w:eastAsia="ru-RU"/>
        </w:rPr>
        <w:t>по разделу «Жилищно-коммунальное хозяйство»</w:t>
      </w:r>
    </w:p>
    <w:p w:rsidR="00737DF9" w:rsidRPr="001B31DA" w:rsidRDefault="00737DF9" w:rsidP="00737DF9">
      <w:pPr>
        <w:jc w:val="both"/>
        <w:rPr>
          <w:lang w:eastAsia="ru-RU"/>
        </w:rPr>
      </w:pPr>
      <w:r w:rsidRPr="001B31DA">
        <w:rPr>
          <w:lang w:eastAsia="ru-RU"/>
        </w:rPr>
        <w:t xml:space="preserve">Проектом решения № 1 и Проектом решения № 2 предлагается плановые назначения на 2024 год уменьшить всего на сумму 6 099,6 тыс. рублей. В результате предлагаемых изменений расходы по разделу «Жилищно-коммунальное хозяйство» на 2024 год составят 1 370 351,6 тыс. рублей. </w:t>
      </w:r>
    </w:p>
    <w:p w:rsidR="00737DF9" w:rsidRPr="001B31DA" w:rsidRDefault="00737DF9" w:rsidP="00737DF9">
      <w:pPr>
        <w:jc w:val="both"/>
        <w:rPr>
          <w:szCs w:val="24"/>
          <w:lang w:eastAsia="ru-RU"/>
        </w:rPr>
      </w:pPr>
      <w:r w:rsidRPr="001B31DA">
        <w:rPr>
          <w:szCs w:val="24"/>
          <w:lang w:eastAsia="ru-RU"/>
        </w:rPr>
        <w:t>Также</w:t>
      </w:r>
      <w:r>
        <w:rPr>
          <w:szCs w:val="24"/>
          <w:lang w:eastAsia="ru-RU"/>
        </w:rPr>
        <w:t>,</w:t>
      </w:r>
      <w:r w:rsidRPr="001B31DA">
        <w:rPr>
          <w:szCs w:val="24"/>
          <w:lang w:eastAsia="ru-RU"/>
        </w:rPr>
        <w:t xml:space="preserve"> представленными проектами решений</w:t>
      </w:r>
      <w:r>
        <w:rPr>
          <w:szCs w:val="24"/>
          <w:lang w:eastAsia="ru-RU"/>
        </w:rPr>
        <w:t xml:space="preserve"> </w:t>
      </w:r>
      <w:r>
        <w:rPr>
          <w:lang w:eastAsia="ru-RU"/>
        </w:rPr>
        <w:t>(</w:t>
      </w:r>
      <w:r w:rsidRPr="001B31DA">
        <w:rPr>
          <w:lang w:eastAsia="ru-RU"/>
        </w:rPr>
        <w:t>№ 1 и № 2)</w:t>
      </w:r>
      <w:r w:rsidRPr="001B31DA">
        <w:rPr>
          <w:szCs w:val="24"/>
          <w:lang w:eastAsia="ru-RU"/>
        </w:rPr>
        <w:t xml:space="preserve"> предлагается увеличить плановые назначения на 2025 год и на 2026 год. На 2025 год всего увеличить расходы на сумму 23 548,8 тыс. рублей. На 2026 год всего увеличить расходы на сумму 13 405,1 тыс. рублей по подразделу 0505 «Другие вопросы в области жилищно-коммунального хозяйства».</w:t>
      </w:r>
    </w:p>
    <w:p w:rsidR="00737DF9" w:rsidRPr="001B31DA" w:rsidRDefault="00737DF9" w:rsidP="00737DF9">
      <w:pPr>
        <w:jc w:val="both"/>
        <w:rPr>
          <w:szCs w:val="24"/>
          <w:lang w:eastAsia="ru-RU"/>
        </w:rPr>
      </w:pPr>
      <w:r w:rsidRPr="001B31DA">
        <w:rPr>
          <w:szCs w:val="24"/>
          <w:lang w:eastAsia="ru-RU"/>
        </w:rPr>
        <w:t>В результате расходы по разделу «Жилищно-коммунальное хозяйство» предлагается утвердить на 2025 год в сумме 208 102,7 тыс. рублей, на 2026 год в сумме 197 186,0 тыс. рублей.</w:t>
      </w:r>
    </w:p>
    <w:p w:rsidR="00737DF9" w:rsidRPr="001B31DA" w:rsidRDefault="00737DF9" w:rsidP="00737DF9">
      <w:pPr>
        <w:numPr>
          <w:ilvl w:val="0"/>
          <w:numId w:val="28"/>
        </w:numPr>
        <w:tabs>
          <w:tab w:val="left" w:pos="993"/>
        </w:tabs>
        <w:contextualSpacing/>
        <w:jc w:val="both"/>
        <w:rPr>
          <w:lang w:eastAsia="ru-RU"/>
        </w:rPr>
      </w:pPr>
      <w:r w:rsidRPr="001B31DA">
        <w:rPr>
          <w:lang w:eastAsia="ru-RU"/>
        </w:rPr>
        <w:t>по разделу «Охрана окружающей среды»</w:t>
      </w:r>
    </w:p>
    <w:p w:rsidR="00737DF9" w:rsidRPr="001B31DA" w:rsidRDefault="00737DF9" w:rsidP="00737DF9">
      <w:pPr>
        <w:jc w:val="both"/>
        <w:rPr>
          <w:szCs w:val="24"/>
          <w:lang w:eastAsia="ru-RU"/>
        </w:rPr>
      </w:pPr>
      <w:r w:rsidRPr="001B31DA">
        <w:rPr>
          <w:lang w:eastAsia="ru-RU"/>
        </w:rPr>
        <w:t xml:space="preserve">Проектом </w:t>
      </w:r>
      <w:r w:rsidR="00306DD1" w:rsidRPr="001B31DA">
        <w:rPr>
          <w:lang w:eastAsia="ru-RU"/>
        </w:rPr>
        <w:t>решения</w:t>
      </w:r>
      <w:r w:rsidR="00306DD1" w:rsidRPr="001B31DA">
        <w:rPr>
          <w:lang w:eastAsia="ru-RU"/>
        </w:rPr>
        <w:t xml:space="preserve"> </w:t>
      </w:r>
      <w:r w:rsidRPr="001B31DA">
        <w:rPr>
          <w:lang w:eastAsia="ru-RU"/>
        </w:rPr>
        <w:t xml:space="preserve">№ 1 и Проектом </w:t>
      </w:r>
      <w:r w:rsidR="00306DD1" w:rsidRPr="001B31DA">
        <w:rPr>
          <w:lang w:eastAsia="ru-RU"/>
        </w:rPr>
        <w:t>решения</w:t>
      </w:r>
      <w:r w:rsidR="00306DD1" w:rsidRPr="001B31DA">
        <w:rPr>
          <w:lang w:eastAsia="ru-RU"/>
        </w:rPr>
        <w:t xml:space="preserve"> </w:t>
      </w:r>
      <w:r w:rsidRPr="001B31DA">
        <w:rPr>
          <w:lang w:eastAsia="ru-RU"/>
        </w:rPr>
        <w:t xml:space="preserve">№ 2 предлагается плановые назначения на 2024 год увеличить всего на сумму 13 042,7 тыс. рублей </w:t>
      </w:r>
      <w:r w:rsidRPr="001B31DA">
        <w:rPr>
          <w:szCs w:val="24"/>
          <w:lang w:eastAsia="ru-RU"/>
        </w:rPr>
        <w:t xml:space="preserve">по подразделу 0602 «Сбор, удаление отходов и очистка сточных вод». </w:t>
      </w:r>
    </w:p>
    <w:p w:rsidR="00737DF9" w:rsidRPr="001B31DA" w:rsidRDefault="00737DF9" w:rsidP="00737DF9">
      <w:pPr>
        <w:jc w:val="both"/>
        <w:rPr>
          <w:lang w:eastAsia="ru-RU"/>
        </w:rPr>
      </w:pPr>
      <w:r w:rsidRPr="001B31DA">
        <w:rPr>
          <w:lang w:eastAsia="ru-RU"/>
        </w:rPr>
        <w:t xml:space="preserve">В результате предлагаемых изменений расходы по разделу «Охрана окружающей среды» на 2024 год составят 90 542,2 тыс. рублей. </w:t>
      </w:r>
    </w:p>
    <w:p w:rsidR="00737DF9" w:rsidRPr="001B31DA" w:rsidRDefault="00737DF9" w:rsidP="00737DF9">
      <w:pPr>
        <w:pStyle w:val="ab"/>
        <w:numPr>
          <w:ilvl w:val="0"/>
          <w:numId w:val="28"/>
        </w:numPr>
        <w:suppressAutoHyphens w:val="0"/>
        <w:jc w:val="both"/>
        <w:rPr>
          <w:lang w:eastAsia="ru-RU"/>
        </w:rPr>
      </w:pPr>
      <w:r w:rsidRPr="001B31DA">
        <w:rPr>
          <w:lang w:eastAsia="ru-RU"/>
        </w:rPr>
        <w:t>по разделу «Образование»</w:t>
      </w:r>
    </w:p>
    <w:p w:rsidR="00737DF9" w:rsidRPr="001B31DA" w:rsidRDefault="00737DF9" w:rsidP="00737DF9">
      <w:pPr>
        <w:jc w:val="both"/>
        <w:rPr>
          <w:szCs w:val="24"/>
          <w:lang w:eastAsia="ru-RU"/>
        </w:rPr>
      </w:pPr>
      <w:r w:rsidRPr="001B31DA">
        <w:rPr>
          <w:szCs w:val="24"/>
          <w:lang w:eastAsia="ru-RU"/>
        </w:rPr>
        <w:t xml:space="preserve">Проектом решения № 1 предлагается плановые назначения на 2024 год уменьшить всего на сумму 11 784,6 тыс. рублей. В результате расходы по разделу </w:t>
      </w:r>
      <w:r w:rsidRPr="001B31DA">
        <w:rPr>
          <w:lang w:eastAsia="ru-RU"/>
        </w:rPr>
        <w:t xml:space="preserve">«Образование» </w:t>
      </w:r>
      <w:r w:rsidRPr="001B31DA">
        <w:rPr>
          <w:szCs w:val="24"/>
          <w:lang w:eastAsia="ru-RU"/>
        </w:rPr>
        <w:t xml:space="preserve">на 2024 год по Проекту решения № 1 составят 1 833 545,7 тыс. рублей. </w:t>
      </w:r>
    </w:p>
    <w:p w:rsidR="00737DF9" w:rsidRPr="001B31DA" w:rsidRDefault="00737DF9" w:rsidP="00737DF9">
      <w:pPr>
        <w:jc w:val="both"/>
        <w:rPr>
          <w:szCs w:val="24"/>
          <w:lang w:eastAsia="ru-RU"/>
        </w:rPr>
      </w:pPr>
      <w:r w:rsidRPr="001B31DA">
        <w:rPr>
          <w:szCs w:val="24"/>
          <w:lang w:eastAsia="ru-RU"/>
        </w:rPr>
        <w:t xml:space="preserve">Проектом решения № 2 предлагается плановые назначения на 2024 год увеличить всего на сумму 121,8 тыс. рублей. В результате расходы по разделу </w:t>
      </w:r>
      <w:r w:rsidRPr="001B31DA">
        <w:rPr>
          <w:lang w:eastAsia="ru-RU"/>
        </w:rPr>
        <w:t xml:space="preserve">«Образование» </w:t>
      </w:r>
      <w:r w:rsidRPr="001B31DA">
        <w:rPr>
          <w:szCs w:val="24"/>
          <w:lang w:eastAsia="ru-RU"/>
        </w:rPr>
        <w:t xml:space="preserve">на 2024 год по Проекту решения № 2 составят 1 845 452,1 тыс. рублей. </w:t>
      </w:r>
    </w:p>
    <w:p w:rsidR="00737DF9" w:rsidRPr="001B31DA" w:rsidRDefault="00737DF9" w:rsidP="00737DF9">
      <w:pPr>
        <w:numPr>
          <w:ilvl w:val="0"/>
          <w:numId w:val="28"/>
        </w:numPr>
        <w:tabs>
          <w:tab w:val="left" w:pos="993"/>
        </w:tabs>
        <w:jc w:val="both"/>
        <w:rPr>
          <w:szCs w:val="24"/>
          <w:lang w:eastAsia="ru-RU"/>
        </w:rPr>
      </w:pPr>
      <w:r w:rsidRPr="001B31DA">
        <w:rPr>
          <w:szCs w:val="24"/>
          <w:lang w:eastAsia="ru-RU"/>
        </w:rPr>
        <w:t xml:space="preserve">по разделу «Культура и кинематография» </w:t>
      </w:r>
    </w:p>
    <w:p w:rsidR="00737DF9" w:rsidRPr="001B31DA" w:rsidRDefault="00737DF9" w:rsidP="00737DF9">
      <w:pPr>
        <w:jc w:val="both"/>
        <w:rPr>
          <w:lang w:eastAsia="ru-RU"/>
        </w:rPr>
      </w:pPr>
      <w:r w:rsidRPr="001B31DA">
        <w:rPr>
          <w:szCs w:val="24"/>
          <w:lang w:eastAsia="ru-RU"/>
        </w:rPr>
        <w:t xml:space="preserve">Проектом решения № 1 предлагается плановые назначения на 2024 год уменьшить на сумму </w:t>
      </w:r>
      <w:r w:rsidRPr="001B31DA">
        <w:rPr>
          <w:lang w:eastAsia="ru-RU"/>
        </w:rPr>
        <w:t xml:space="preserve">409,4 </w:t>
      </w:r>
      <w:r w:rsidRPr="001B31DA">
        <w:rPr>
          <w:szCs w:val="24"/>
          <w:lang w:eastAsia="ru-RU"/>
        </w:rPr>
        <w:t xml:space="preserve">тыс. рублей. </w:t>
      </w:r>
      <w:r w:rsidRPr="001B31DA">
        <w:rPr>
          <w:lang w:eastAsia="ru-RU"/>
        </w:rPr>
        <w:t xml:space="preserve">В результате расходы по данному разделу на 2024 год по Проекту решения № 1 составляют 295 949,5 тыс. рублей. </w:t>
      </w:r>
    </w:p>
    <w:p w:rsidR="00737DF9" w:rsidRPr="001B31DA" w:rsidRDefault="00737DF9" w:rsidP="00737DF9">
      <w:pPr>
        <w:jc w:val="both"/>
        <w:rPr>
          <w:lang w:eastAsia="ru-RU"/>
        </w:rPr>
      </w:pPr>
      <w:r w:rsidRPr="001B31DA">
        <w:rPr>
          <w:szCs w:val="24"/>
          <w:lang w:eastAsia="ru-RU"/>
        </w:rPr>
        <w:t xml:space="preserve">Проектом решения № 2 предлагается плановые назначения на 2024 год увеличить на сумму </w:t>
      </w:r>
      <w:r w:rsidRPr="001B31DA">
        <w:rPr>
          <w:lang w:eastAsia="ru-RU"/>
        </w:rPr>
        <w:t xml:space="preserve">56 960,6 </w:t>
      </w:r>
      <w:r w:rsidRPr="001B31DA">
        <w:rPr>
          <w:szCs w:val="24"/>
          <w:lang w:eastAsia="ru-RU"/>
        </w:rPr>
        <w:t xml:space="preserve">тыс. рублей. </w:t>
      </w:r>
      <w:r w:rsidRPr="001B31DA">
        <w:rPr>
          <w:lang w:eastAsia="ru-RU"/>
        </w:rPr>
        <w:t xml:space="preserve">В результате расходы по данному разделу на 2024 год по Проекту решения № 2 составляют 352 910,1 тыс. рублей. </w:t>
      </w:r>
    </w:p>
    <w:p w:rsidR="00737DF9" w:rsidRPr="001B31DA" w:rsidRDefault="00737DF9" w:rsidP="00737DF9">
      <w:pPr>
        <w:numPr>
          <w:ilvl w:val="0"/>
          <w:numId w:val="28"/>
        </w:numPr>
        <w:tabs>
          <w:tab w:val="left" w:pos="993"/>
        </w:tabs>
        <w:jc w:val="both"/>
        <w:rPr>
          <w:szCs w:val="24"/>
          <w:lang w:eastAsia="ru-RU"/>
        </w:rPr>
      </w:pPr>
      <w:r w:rsidRPr="001B31DA">
        <w:rPr>
          <w:szCs w:val="24"/>
          <w:lang w:eastAsia="ru-RU"/>
        </w:rPr>
        <w:lastRenderedPageBreak/>
        <w:t xml:space="preserve">по разделу «Социальная политика» </w:t>
      </w:r>
    </w:p>
    <w:p w:rsidR="00737DF9" w:rsidRPr="001B31DA" w:rsidRDefault="00737DF9" w:rsidP="00737DF9">
      <w:pPr>
        <w:jc w:val="both"/>
        <w:rPr>
          <w:szCs w:val="24"/>
          <w:lang w:eastAsia="ru-RU"/>
        </w:rPr>
      </w:pPr>
      <w:r w:rsidRPr="001B31DA">
        <w:rPr>
          <w:lang w:eastAsia="ru-RU"/>
        </w:rPr>
        <w:t xml:space="preserve">Проектом № 1 и Проектом № 2 </w:t>
      </w:r>
      <w:r w:rsidRPr="001B31DA">
        <w:rPr>
          <w:szCs w:val="24"/>
          <w:lang w:eastAsia="ru-RU"/>
        </w:rPr>
        <w:t xml:space="preserve">предлагается плановые назначения на 2024 год </w:t>
      </w:r>
      <w:r w:rsidRPr="001B31DA">
        <w:rPr>
          <w:iCs/>
          <w:szCs w:val="24"/>
          <w:lang w:eastAsia="ru-RU"/>
        </w:rPr>
        <w:t>уменьшить</w:t>
      </w:r>
      <w:r w:rsidRPr="001B31DA">
        <w:rPr>
          <w:szCs w:val="24"/>
          <w:lang w:eastAsia="ru-RU"/>
        </w:rPr>
        <w:t xml:space="preserve"> на сумму 2 398,9 тыс. рублей. В результате расходы по данному разделу на 2024 год составят 97 590,8 тыс. рублей. </w:t>
      </w:r>
    </w:p>
    <w:p w:rsidR="00737DF9" w:rsidRPr="001B31DA" w:rsidRDefault="00737DF9" w:rsidP="00737DF9">
      <w:pPr>
        <w:numPr>
          <w:ilvl w:val="0"/>
          <w:numId w:val="28"/>
        </w:numPr>
        <w:ind w:left="1134" w:hanging="283"/>
        <w:jc w:val="both"/>
        <w:rPr>
          <w:szCs w:val="24"/>
          <w:lang w:eastAsia="ru-RU"/>
        </w:rPr>
      </w:pPr>
      <w:r w:rsidRPr="001B31DA">
        <w:rPr>
          <w:szCs w:val="24"/>
          <w:lang w:eastAsia="ru-RU"/>
        </w:rPr>
        <w:t xml:space="preserve">по разделу «Физическая культура и спорт» </w:t>
      </w:r>
    </w:p>
    <w:p w:rsidR="00737DF9" w:rsidRPr="001B31DA" w:rsidRDefault="00737DF9" w:rsidP="00737DF9">
      <w:pPr>
        <w:jc w:val="both"/>
        <w:rPr>
          <w:szCs w:val="24"/>
          <w:lang w:eastAsia="ru-RU"/>
        </w:rPr>
      </w:pPr>
      <w:r w:rsidRPr="001B31DA">
        <w:rPr>
          <w:szCs w:val="24"/>
          <w:lang w:eastAsia="ru-RU"/>
        </w:rPr>
        <w:t xml:space="preserve">По данному разделу изменений общего объема расходов </w:t>
      </w:r>
      <w:r w:rsidRPr="001B31DA">
        <w:rPr>
          <w:lang w:eastAsia="ru-RU"/>
        </w:rPr>
        <w:t xml:space="preserve">Проектом </w:t>
      </w:r>
      <w:r>
        <w:rPr>
          <w:lang w:eastAsia="ru-RU"/>
        </w:rPr>
        <w:t xml:space="preserve">решения </w:t>
      </w:r>
      <w:r w:rsidRPr="001B31DA">
        <w:rPr>
          <w:lang w:eastAsia="ru-RU"/>
        </w:rPr>
        <w:t xml:space="preserve">№ 1 и Проектом </w:t>
      </w:r>
      <w:r>
        <w:rPr>
          <w:lang w:eastAsia="ru-RU"/>
        </w:rPr>
        <w:t xml:space="preserve">решения </w:t>
      </w:r>
      <w:r w:rsidRPr="001B31DA">
        <w:rPr>
          <w:lang w:eastAsia="ru-RU"/>
        </w:rPr>
        <w:t xml:space="preserve">№ 2 </w:t>
      </w:r>
      <w:r w:rsidRPr="001B31DA">
        <w:rPr>
          <w:szCs w:val="24"/>
          <w:lang w:eastAsia="ru-RU"/>
        </w:rPr>
        <w:t>не предлагается. В рамках муниципальной программы «Развитие физической культуры и спорта Балахнинского муниципального округа Нижегородской области» подпрограммы «Развитие физической культуры, массового и школьного спорта» предлагается перераспределить ассигнования в сумме 1 841,7 тыс. рублей с подраздела 1101 «Физическая культура» на подраздел 1102 «Массовый спорт» на обеспечение деятельности МБУ «СШ «ФОК «Олимпийский</w:t>
      </w:r>
      <w:r>
        <w:rPr>
          <w:szCs w:val="24"/>
          <w:lang w:eastAsia="ru-RU"/>
        </w:rPr>
        <w:t>»</w:t>
      </w:r>
      <w:r w:rsidRPr="001B31DA">
        <w:rPr>
          <w:szCs w:val="24"/>
          <w:lang w:eastAsia="ru-RU"/>
        </w:rPr>
        <w:t xml:space="preserve">. В рамках подпрограммы «Развитие физической культуры, массового и школьного спорта» перераспределены ассигнования </w:t>
      </w:r>
      <w:r w:rsidRPr="001B31DA">
        <w:rPr>
          <w:lang w:eastAsia="ru-RU"/>
        </w:rPr>
        <w:t xml:space="preserve">с КВР 200 «Закупка товаров, работ и услуг для государственных (муниципальных) нужд» на КВР 600 «Предоставление субсидий бюджетным, автономным учреждениям и иным некоммерческим организациям» </w:t>
      </w:r>
      <w:r w:rsidRPr="001B31DA">
        <w:rPr>
          <w:szCs w:val="24"/>
          <w:lang w:eastAsia="ru-RU"/>
        </w:rPr>
        <w:t>в сумме 94,2 тыс. рублей.</w:t>
      </w:r>
    </w:p>
    <w:p w:rsidR="00737DF9" w:rsidRPr="001B31DA" w:rsidRDefault="00737DF9" w:rsidP="00737DF9">
      <w:pPr>
        <w:jc w:val="both"/>
        <w:rPr>
          <w:szCs w:val="24"/>
          <w:lang w:eastAsia="ru-RU"/>
        </w:rPr>
      </w:pPr>
      <w:r w:rsidRPr="001B31DA">
        <w:rPr>
          <w:szCs w:val="24"/>
          <w:lang w:eastAsia="ru-RU"/>
        </w:rPr>
        <w:t>В результате расходы по разделу «Физическая культура и спорт» на 2024 год утверждены в сумме 181 610,1 тыс. рублей, на 2025 год в сумме 68 144,6 тыс. рублей, на 2026 год в сумме 68 128,1 тыс. рублей.</w:t>
      </w:r>
    </w:p>
    <w:p w:rsidR="00737DF9" w:rsidRPr="001B31DA" w:rsidRDefault="00737DF9" w:rsidP="00737DF9">
      <w:pPr>
        <w:pStyle w:val="ab"/>
        <w:numPr>
          <w:ilvl w:val="0"/>
          <w:numId w:val="29"/>
        </w:numPr>
        <w:suppressAutoHyphens w:val="0"/>
        <w:jc w:val="both"/>
        <w:rPr>
          <w:szCs w:val="24"/>
          <w:lang w:eastAsia="ru-RU"/>
        </w:rPr>
      </w:pPr>
      <w:r w:rsidRPr="001B31DA">
        <w:rPr>
          <w:szCs w:val="24"/>
          <w:lang w:eastAsia="ru-RU"/>
        </w:rPr>
        <w:t xml:space="preserve">по разделу «Обслуживание государственного (муниципального) долга» </w:t>
      </w:r>
    </w:p>
    <w:p w:rsidR="00737DF9" w:rsidRPr="001B31DA" w:rsidRDefault="00737DF9" w:rsidP="00737DF9">
      <w:pPr>
        <w:jc w:val="both"/>
        <w:rPr>
          <w:szCs w:val="24"/>
          <w:lang w:eastAsia="ru-RU"/>
        </w:rPr>
      </w:pPr>
      <w:r w:rsidRPr="001B31DA">
        <w:rPr>
          <w:lang w:eastAsia="ru-RU"/>
        </w:rPr>
        <w:t xml:space="preserve">Проектом </w:t>
      </w:r>
      <w:r>
        <w:rPr>
          <w:lang w:eastAsia="ru-RU"/>
        </w:rPr>
        <w:t xml:space="preserve">решения </w:t>
      </w:r>
      <w:r w:rsidRPr="001B31DA">
        <w:rPr>
          <w:lang w:eastAsia="ru-RU"/>
        </w:rPr>
        <w:t xml:space="preserve">№ 1 и Проектом </w:t>
      </w:r>
      <w:r>
        <w:rPr>
          <w:lang w:eastAsia="ru-RU"/>
        </w:rPr>
        <w:t xml:space="preserve">решения </w:t>
      </w:r>
      <w:r w:rsidRPr="001B31DA">
        <w:rPr>
          <w:lang w:eastAsia="ru-RU"/>
        </w:rPr>
        <w:t xml:space="preserve">№ 2 </w:t>
      </w:r>
      <w:r w:rsidRPr="001B31DA">
        <w:rPr>
          <w:szCs w:val="24"/>
          <w:lang w:eastAsia="ru-RU"/>
        </w:rPr>
        <w:t>предлагается плановые назначения на 2024 год уменьшить на сумму 1 627,0 тыс. рублей по подразделу «Обслуживание государственного (муниципального) долга».</w:t>
      </w:r>
    </w:p>
    <w:p w:rsidR="00737DF9" w:rsidRPr="001B31DA" w:rsidRDefault="00737DF9" w:rsidP="00737DF9">
      <w:pPr>
        <w:jc w:val="both"/>
        <w:rPr>
          <w:szCs w:val="24"/>
          <w:lang w:eastAsia="ru-RU"/>
        </w:rPr>
      </w:pPr>
      <w:r w:rsidRPr="001B31DA">
        <w:rPr>
          <w:szCs w:val="24"/>
          <w:lang w:eastAsia="ru-RU"/>
        </w:rPr>
        <w:t xml:space="preserve">В результате расходы по разделу «Обслуживание государственного (муниципального) долга» на 2024 год составляют 869,7 тыс. рублей. </w:t>
      </w:r>
    </w:p>
    <w:p w:rsidR="00737DF9" w:rsidRPr="001B31DA" w:rsidRDefault="00737DF9" w:rsidP="00737DF9">
      <w:pPr>
        <w:pStyle w:val="aff1"/>
        <w:jc w:val="both"/>
        <w:rPr>
          <w:lang w:eastAsia="ru-RU"/>
        </w:rPr>
      </w:pPr>
      <w:r w:rsidRPr="001B31DA">
        <w:rPr>
          <w:lang w:eastAsia="ru-RU"/>
        </w:rPr>
        <w:t xml:space="preserve">На 2025 год проектами решений </w:t>
      </w:r>
      <w:r>
        <w:rPr>
          <w:lang w:eastAsia="ru-RU"/>
        </w:rPr>
        <w:t>(</w:t>
      </w:r>
      <w:r w:rsidRPr="001B31DA">
        <w:rPr>
          <w:lang w:eastAsia="ru-RU"/>
        </w:rPr>
        <w:t>№ 1 и № 2)</w:t>
      </w:r>
      <w:r>
        <w:rPr>
          <w:lang w:eastAsia="ru-RU"/>
        </w:rPr>
        <w:t xml:space="preserve"> </w:t>
      </w:r>
      <w:r w:rsidRPr="001B31DA">
        <w:rPr>
          <w:lang w:eastAsia="ru-RU"/>
        </w:rPr>
        <w:t>предлагается увеличить расходы на сумму 1 627,0 тыс. рублей по подразделу «Обслуживание государственного (муниципального) долга».</w:t>
      </w:r>
    </w:p>
    <w:p w:rsidR="00737DF9" w:rsidRPr="001B31DA" w:rsidRDefault="00737DF9" w:rsidP="00737DF9">
      <w:pPr>
        <w:jc w:val="both"/>
        <w:rPr>
          <w:szCs w:val="24"/>
          <w:lang w:eastAsia="ru-RU"/>
        </w:rPr>
      </w:pPr>
      <w:r w:rsidRPr="001B31DA">
        <w:rPr>
          <w:szCs w:val="24"/>
          <w:lang w:eastAsia="ru-RU"/>
        </w:rPr>
        <w:t>В результате расходы по разделу «Обслуживание государственного (муниципального) долга» на 2025 год составляют 32 450,0 тыс. рублей, на 2026 год плановые назначения не изменяются и составляют 25 700,3 тыс. рублей.</w:t>
      </w:r>
    </w:p>
    <w:p w:rsidR="00737DF9" w:rsidRPr="001B31DA" w:rsidRDefault="00737DF9" w:rsidP="00737DF9">
      <w:pPr>
        <w:tabs>
          <w:tab w:val="left" w:pos="567"/>
          <w:tab w:val="left" w:pos="851"/>
        </w:tabs>
        <w:ind w:firstLine="709"/>
        <w:jc w:val="both"/>
        <w:rPr>
          <w:szCs w:val="24"/>
          <w:lang w:eastAsia="ru-RU"/>
        </w:rPr>
      </w:pPr>
      <w:r w:rsidRPr="001B31DA">
        <w:rPr>
          <w:szCs w:val="24"/>
          <w:lang w:eastAsia="ru-RU"/>
        </w:rPr>
        <w:t>5. Изменения по ведомственной структуре расходов бюджета в части объемов финансирования и перераспределения бюджетных ассигнований коснулись 7 ведомств, осуществляющих исполнение расходных обязательств бюджета Балахнинского муниципального округа.</w:t>
      </w:r>
    </w:p>
    <w:p w:rsidR="00737DF9" w:rsidRPr="001B31DA" w:rsidRDefault="00737DF9" w:rsidP="00737DF9">
      <w:pPr>
        <w:ind w:firstLine="709"/>
        <w:jc w:val="both"/>
        <w:rPr>
          <w:szCs w:val="24"/>
          <w:lang w:eastAsia="ru-RU"/>
        </w:rPr>
      </w:pPr>
      <w:r w:rsidRPr="001B31DA">
        <w:rPr>
          <w:szCs w:val="24"/>
          <w:lang w:eastAsia="ru-RU"/>
        </w:rPr>
        <w:t xml:space="preserve">6. На основании ч. 2 ст. 179 Бюджетного кодекса РФ объем бюджетных ассигнований на финансовое обеспечение реализации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местной администрацией муниципального образования. </w:t>
      </w:r>
    </w:p>
    <w:p w:rsidR="00737DF9" w:rsidRPr="001B31DA" w:rsidRDefault="00737DF9" w:rsidP="00737DF9">
      <w:pPr>
        <w:tabs>
          <w:tab w:val="left" w:pos="142"/>
        </w:tabs>
        <w:jc w:val="both"/>
        <w:rPr>
          <w:szCs w:val="24"/>
          <w:lang w:eastAsia="ru-RU"/>
        </w:rPr>
      </w:pPr>
      <w:r w:rsidRPr="001B31DA">
        <w:rPr>
          <w:szCs w:val="24"/>
          <w:lang w:eastAsia="ru-RU"/>
        </w:rPr>
        <w:t>Согласно Проектам решений, изменения объемов финансирования мероприятий коснулись 15 из 22 муниципальных программ:</w:t>
      </w:r>
    </w:p>
    <w:p w:rsidR="00737DF9" w:rsidRPr="001B31DA" w:rsidRDefault="00737DF9" w:rsidP="00737DF9">
      <w:pPr>
        <w:tabs>
          <w:tab w:val="left" w:pos="142"/>
        </w:tabs>
        <w:jc w:val="both"/>
        <w:rPr>
          <w:szCs w:val="24"/>
          <w:lang w:eastAsia="ru-RU"/>
        </w:rPr>
      </w:pPr>
      <w:r w:rsidRPr="001B31DA">
        <w:rPr>
          <w:szCs w:val="24"/>
          <w:lang w:eastAsia="ru-RU"/>
        </w:rPr>
        <w:t xml:space="preserve">- "Развитие образования Балахнинского муниципального округа Нижегородской области"; </w:t>
      </w:r>
    </w:p>
    <w:p w:rsidR="00737DF9" w:rsidRPr="001B31DA" w:rsidRDefault="00737DF9" w:rsidP="00737DF9">
      <w:pPr>
        <w:tabs>
          <w:tab w:val="left" w:pos="142"/>
        </w:tabs>
        <w:jc w:val="both"/>
        <w:rPr>
          <w:szCs w:val="24"/>
          <w:lang w:eastAsia="ru-RU"/>
        </w:rPr>
      </w:pPr>
      <w:r w:rsidRPr="001B31DA">
        <w:rPr>
          <w:szCs w:val="24"/>
          <w:lang w:eastAsia="ru-RU"/>
        </w:rPr>
        <w:t>- "Развитие культуры Балахнинского муниципального округа Нижегородской области";</w:t>
      </w:r>
    </w:p>
    <w:p w:rsidR="00737DF9" w:rsidRPr="001B31DA" w:rsidRDefault="00737DF9" w:rsidP="00737DF9">
      <w:pPr>
        <w:tabs>
          <w:tab w:val="left" w:pos="142"/>
        </w:tabs>
        <w:jc w:val="both"/>
        <w:rPr>
          <w:szCs w:val="24"/>
          <w:lang w:eastAsia="ru-RU"/>
        </w:rPr>
      </w:pPr>
      <w:r w:rsidRPr="001B31DA">
        <w:rPr>
          <w:szCs w:val="24"/>
          <w:lang w:eastAsia="ru-RU"/>
        </w:rPr>
        <w:t>- "Развитие физической культуры и спорта Балахнинского муниципального округа Нижегородской области";</w:t>
      </w:r>
    </w:p>
    <w:p w:rsidR="00737DF9" w:rsidRPr="001B31DA" w:rsidRDefault="00737DF9" w:rsidP="00737DF9">
      <w:pPr>
        <w:tabs>
          <w:tab w:val="left" w:pos="142"/>
        </w:tabs>
        <w:jc w:val="both"/>
        <w:rPr>
          <w:iCs/>
          <w:szCs w:val="24"/>
          <w:lang w:eastAsia="ru-RU"/>
        </w:rPr>
      </w:pPr>
      <w:bookmarkStart w:id="2" w:name="_Hlk177655075"/>
      <w:r w:rsidRPr="001B31DA">
        <w:rPr>
          <w:iCs/>
          <w:szCs w:val="24"/>
          <w:lang w:eastAsia="ru-RU"/>
        </w:rPr>
        <w:t>- "Управление муниципальным имуществом и земельными ресурсами Балахнинского муниципального округа Нижегородской области";</w:t>
      </w:r>
    </w:p>
    <w:p w:rsidR="00737DF9" w:rsidRPr="001B31DA" w:rsidRDefault="00737DF9" w:rsidP="00737DF9">
      <w:pPr>
        <w:tabs>
          <w:tab w:val="left" w:pos="142"/>
        </w:tabs>
        <w:jc w:val="both"/>
        <w:rPr>
          <w:iCs/>
          <w:szCs w:val="24"/>
          <w:lang w:eastAsia="ru-RU"/>
        </w:rPr>
      </w:pPr>
      <w:r w:rsidRPr="001B31DA">
        <w:rPr>
          <w:iCs/>
          <w:szCs w:val="24"/>
          <w:lang w:eastAsia="ru-RU"/>
        </w:rPr>
        <w:lastRenderedPageBreak/>
        <w:t>-"Развитие предпринимательства Балахнинского муниципального округа Нижегородской области";</w:t>
      </w:r>
    </w:p>
    <w:bookmarkEnd w:id="2"/>
    <w:p w:rsidR="00737DF9" w:rsidRPr="001B31DA" w:rsidRDefault="00737DF9" w:rsidP="00737DF9">
      <w:pPr>
        <w:tabs>
          <w:tab w:val="left" w:pos="142"/>
        </w:tabs>
        <w:jc w:val="both"/>
        <w:rPr>
          <w:szCs w:val="24"/>
          <w:lang w:eastAsia="ru-RU"/>
        </w:rPr>
      </w:pPr>
      <w:r w:rsidRPr="001B31DA">
        <w:rPr>
          <w:szCs w:val="24"/>
          <w:lang w:eastAsia="ru-RU"/>
        </w:rPr>
        <w:t>- "Повышение эффективности бюджетных расходов в Балахнинском муниципальном округе Нижегородской области";</w:t>
      </w:r>
    </w:p>
    <w:p w:rsidR="00737DF9" w:rsidRPr="001B31DA" w:rsidRDefault="00737DF9" w:rsidP="00737DF9">
      <w:pPr>
        <w:tabs>
          <w:tab w:val="left" w:pos="142"/>
        </w:tabs>
        <w:jc w:val="both"/>
        <w:rPr>
          <w:szCs w:val="24"/>
          <w:lang w:eastAsia="ru-RU"/>
        </w:rPr>
      </w:pPr>
      <w:r w:rsidRPr="001B31DA">
        <w:rPr>
          <w:szCs w:val="24"/>
          <w:lang w:eastAsia="ru-RU"/>
        </w:rPr>
        <w:t>- "Развитие агропромышленного комплекса Балахнинского муниципального округа Нижегородской области";</w:t>
      </w:r>
    </w:p>
    <w:p w:rsidR="00737DF9" w:rsidRPr="001B31DA" w:rsidRDefault="00737DF9" w:rsidP="00737DF9">
      <w:pPr>
        <w:tabs>
          <w:tab w:val="left" w:pos="142"/>
        </w:tabs>
        <w:jc w:val="both"/>
        <w:rPr>
          <w:szCs w:val="24"/>
          <w:lang w:eastAsia="ru-RU"/>
        </w:rPr>
      </w:pPr>
      <w:r w:rsidRPr="001B31DA">
        <w:rPr>
          <w:szCs w:val="24"/>
          <w:lang w:eastAsia="ru-RU"/>
        </w:rPr>
        <w:t>- "Государственная поддержка граждан по обеспечению жильем на территории Балахнинского муниципального округа Нижегородской области";</w:t>
      </w:r>
    </w:p>
    <w:p w:rsidR="00737DF9" w:rsidRPr="001B31DA" w:rsidRDefault="00737DF9" w:rsidP="00737DF9">
      <w:pPr>
        <w:tabs>
          <w:tab w:val="left" w:pos="142"/>
        </w:tabs>
        <w:jc w:val="both"/>
        <w:rPr>
          <w:szCs w:val="24"/>
          <w:lang w:eastAsia="ru-RU"/>
        </w:rPr>
      </w:pPr>
      <w:r w:rsidRPr="001B31DA">
        <w:rPr>
          <w:szCs w:val="24"/>
          <w:lang w:eastAsia="ru-RU"/>
        </w:rPr>
        <w:t>-"Переселение граждан из аварийного жилищного фонда на территории Балахнинского муниципального округа Нижегородской области на 2021 - 2023 годы";</w:t>
      </w:r>
    </w:p>
    <w:p w:rsidR="00737DF9" w:rsidRPr="001B31DA" w:rsidRDefault="00737DF9" w:rsidP="00737DF9">
      <w:pPr>
        <w:tabs>
          <w:tab w:val="left" w:pos="142"/>
        </w:tabs>
        <w:jc w:val="both"/>
        <w:rPr>
          <w:szCs w:val="24"/>
          <w:lang w:eastAsia="ru-RU"/>
        </w:rPr>
      </w:pPr>
      <w:r w:rsidRPr="001B31DA">
        <w:rPr>
          <w:szCs w:val="24"/>
          <w:lang w:eastAsia="ru-RU"/>
        </w:rPr>
        <w:t>- </w:t>
      </w:r>
      <w:bookmarkStart w:id="3" w:name="_Hlk185591333"/>
      <w:r w:rsidRPr="001B31DA">
        <w:rPr>
          <w:szCs w:val="24"/>
          <w:lang w:eastAsia="ru-RU"/>
        </w:rPr>
        <w:t>"</w:t>
      </w:r>
      <w:bookmarkEnd w:id="3"/>
      <w:r w:rsidRPr="001B31DA">
        <w:rPr>
          <w:szCs w:val="24"/>
          <w:lang w:eastAsia="ru-RU"/>
        </w:rPr>
        <w:t>Благоустройство и озеленение территории Балахнинского муниципального округа Нижегородской области";</w:t>
      </w:r>
    </w:p>
    <w:p w:rsidR="00737DF9" w:rsidRPr="001B31DA" w:rsidRDefault="00737DF9" w:rsidP="00737DF9">
      <w:pPr>
        <w:tabs>
          <w:tab w:val="left" w:pos="142"/>
        </w:tabs>
        <w:jc w:val="both"/>
        <w:rPr>
          <w:szCs w:val="24"/>
          <w:lang w:eastAsia="ru-RU"/>
        </w:rPr>
      </w:pPr>
      <w:r w:rsidRPr="001B31DA">
        <w:rPr>
          <w:szCs w:val="24"/>
          <w:lang w:eastAsia="ru-RU"/>
        </w:rPr>
        <w:t>- "Обеспечение первичных мер пожарной безопасности на территории Балахнинского муниципального округа Нижегородской области";</w:t>
      </w:r>
    </w:p>
    <w:p w:rsidR="00737DF9" w:rsidRPr="001B31DA" w:rsidRDefault="00737DF9" w:rsidP="00737DF9">
      <w:pPr>
        <w:tabs>
          <w:tab w:val="left" w:pos="142"/>
        </w:tabs>
        <w:jc w:val="both"/>
        <w:rPr>
          <w:szCs w:val="24"/>
          <w:lang w:eastAsia="ru-RU"/>
        </w:rPr>
      </w:pPr>
      <w:r w:rsidRPr="001B31DA">
        <w:rPr>
          <w:szCs w:val="24"/>
          <w:lang w:eastAsia="ru-RU"/>
        </w:rPr>
        <w:t>- "Обеспечение безопасности дорожного движения на территории Балахнинского муниципального округа Нижегородской области";</w:t>
      </w:r>
    </w:p>
    <w:p w:rsidR="00737DF9" w:rsidRPr="001B31DA" w:rsidRDefault="00737DF9" w:rsidP="00737DF9">
      <w:pPr>
        <w:tabs>
          <w:tab w:val="left" w:pos="142"/>
        </w:tabs>
        <w:jc w:val="both"/>
        <w:rPr>
          <w:szCs w:val="24"/>
          <w:lang w:eastAsia="ru-RU"/>
        </w:rPr>
      </w:pPr>
      <w:r w:rsidRPr="001B31DA">
        <w:rPr>
          <w:szCs w:val="24"/>
          <w:lang w:eastAsia="ru-RU"/>
        </w:rPr>
        <w:t>- "Защита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p w:rsidR="00737DF9" w:rsidRPr="001B31DA" w:rsidRDefault="00737DF9" w:rsidP="00737DF9">
      <w:pPr>
        <w:tabs>
          <w:tab w:val="left" w:pos="142"/>
        </w:tabs>
        <w:jc w:val="both"/>
        <w:rPr>
          <w:iCs/>
          <w:szCs w:val="24"/>
          <w:lang w:eastAsia="ru-RU"/>
        </w:rPr>
      </w:pPr>
      <w:r w:rsidRPr="001B31DA">
        <w:rPr>
          <w:iCs/>
          <w:szCs w:val="24"/>
          <w:lang w:eastAsia="ru-RU"/>
        </w:rPr>
        <w:t>- "Развитие сферы жилищно-коммунального хозяйства Балахнинского муниципального округа Нижегородской области на период 2023-2028 годы";</w:t>
      </w:r>
    </w:p>
    <w:p w:rsidR="00737DF9" w:rsidRPr="001B31DA" w:rsidRDefault="00737DF9" w:rsidP="00737DF9">
      <w:pPr>
        <w:tabs>
          <w:tab w:val="left" w:pos="142"/>
        </w:tabs>
        <w:jc w:val="both"/>
        <w:rPr>
          <w:iCs/>
          <w:szCs w:val="24"/>
          <w:lang w:eastAsia="ru-RU"/>
        </w:rPr>
      </w:pPr>
      <w:r w:rsidRPr="001B31DA">
        <w:rPr>
          <w:iCs/>
          <w:szCs w:val="24"/>
          <w:lang w:eastAsia="ru-RU"/>
        </w:rPr>
        <w:t>- "Переселение граждан на территории Балахнинского муниципального округа Нижегородской области в период с 2024 по 2028 годы из аварийного жилищного фонда, признанного таковым с 1 января 2017 г. до 1 января 2022 г.".</w:t>
      </w:r>
    </w:p>
    <w:p w:rsidR="00737DF9" w:rsidRPr="009B12C5" w:rsidRDefault="00737DF9" w:rsidP="00306DD1">
      <w:pPr>
        <w:tabs>
          <w:tab w:val="left" w:pos="142"/>
        </w:tabs>
        <w:ind w:firstLine="709"/>
        <w:jc w:val="both"/>
        <w:rPr>
          <w:szCs w:val="24"/>
          <w:lang w:eastAsia="ru-RU"/>
        </w:rPr>
      </w:pPr>
      <w:r w:rsidRPr="001B31DA">
        <w:rPr>
          <w:szCs w:val="24"/>
          <w:lang w:eastAsia="ru-RU"/>
        </w:rPr>
        <w:t xml:space="preserve">7. </w:t>
      </w:r>
      <w:r w:rsidRPr="009B12C5">
        <w:rPr>
          <w:szCs w:val="24"/>
          <w:lang w:eastAsia="ru-RU"/>
        </w:rPr>
        <w:t>Непрограммные расходы на 2024 год согласно представленным Проектам решений (№ 1 и № 2) предлагается уменьшить на сумму 141,2 тыс. рублей и утвердить в сумме 451</w:t>
      </w:r>
      <w:r>
        <w:rPr>
          <w:szCs w:val="24"/>
          <w:lang w:eastAsia="ru-RU"/>
        </w:rPr>
        <w:t> </w:t>
      </w:r>
      <w:r w:rsidRPr="009B12C5">
        <w:rPr>
          <w:szCs w:val="24"/>
          <w:lang w:eastAsia="ru-RU"/>
        </w:rPr>
        <w:t>882,7 тыс. рублей</w:t>
      </w:r>
      <w:r w:rsidR="00306DD1">
        <w:rPr>
          <w:szCs w:val="24"/>
          <w:lang w:eastAsia="ru-RU"/>
        </w:rPr>
        <w:t>.</w:t>
      </w:r>
    </w:p>
    <w:p w:rsidR="00737DF9" w:rsidRPr="009B12C5" w:rsidRDefault="00737DF9" w:rsidP="00306DD1">
      <w:pPr>
        <w:tabs>
          <w:tab w:val="left" w:pos="142"/>
        </w:tabs>
        <w:ind w:firstLine="709"/>
        <w:jc w:val="both"/>
        <w:rPr>
          <w:szCs w:val="24"/>
          <w:lang w:eastAsia="ru-RU"/>
        </w:rPr>
      </w:pPr>
      <w:r w:rsidRPr="009B12C5">
        <w:rPr>
          <w:szCs w:val="24"/>
          <w:lang w:eastAsia="ru-RU"/>
        </w:rPr>
        <w:t>Непрограммные расходы на 2025 год предлагается утвердить в сумме 348 978,3 тыс. рублей, с уменьшением на сумму 47,7 тыс. рублей</w:t>
      </w:r>
      <w:r w:rsidR="00306DD1">
        <w:rPr>
          <w:szCs w:val="24"/>
          <w:lang w:eastAsia="ru-RU"/>
        </w:rPr>
        <w:t>.</w:t>
      </w:r>
      <w:r w:rsidRPr="009B12C5">
        <w:rPr>
          <w:szCs w:val="24"/>
          <w:lang w:eastAsia="ru-RU"/>
        </w:rPr>
        <w:t xml:space="preserve"> </w:t>
      </w:r>
    </w:p>
    <w:p w:rsidR="00737DF9" w:rsidRPr="009B12C5" w:rsidRDefault="00737DF9" w:rsidP="00737DF9">
      <w:pPr>
        <w:tabs>
          <w:tab w:val="left" w:pos="142"/>
        </w:tabs>
        <w:ind w:firstLine="709"/>
        <w:jc w:val="both"/>
        <w:rPr>
          <w:szCs w:val="24"/>
          <w:lang w:eastAsia="ru-RU"/>
        </w:rPr>
      </w:pPr>
      <w:r w:rsidRPr="009B12C5">
        <w:rPr>
          <w:szCs w:val="24"/>
          <w:lang w:eastAsia="ru-RU"/>
        </w:rPr>
        <w:t>Непрограммные расходы на 2026 год предлагается оставить без изменений в сумме 362 806,1 тыс. рублей. Плановые назначения в рамках непрограммных расходов на 2026 год предлагается перераспределить:</w:t>
      </w:r>
    </w:p>
    <w:p w:rsidR="00737DF9" w:rsidRPr="009B12C5" w:rsidRDefault="00737DF9" w:rsidP="00737DF9">
      <w:pPr>
        <w:tabs>
          <w:tab w:val="left" w:pos="142"/>
        </w:tabs>
        <w:ind w:firstLine="709"/>
        <w:jc w:val="both"/>
        <w:rPr>
          <w:szCs w:val="24"/>
          <w:lang w:eastAsia="ru-RU"/>
        </w:rPr>
      </w:pPr>
      <w:r w:rsidRPr="009B12C5">
        <w:rPr>
          <w:szCs w:val="24"/>
          <w:lang w:eastAsia="ru-RU"/>
        </w:rPr>
        <w:t>- по целевой статье расходов 77 7 01 00000 «Содержание аппарата управления» уменьшить плановые назначения на сумму 13 405,1 тыс. рублей и утвердить в сумме 162</w:t>
      </w:r>
      <w:r>
        <w:rPr>
          <w:szCs w:val="24"/>
          <w:lang w:eastAsia="ru-RU"/>
        </w:rPr>
        <w:t> </w:t>
      </w:r>
      <w:r w:rsidRPr="009B12C5">
        <w:rPr>
          <w:szCs w:val="24"/>
          <w:lang w:eastAsia="ru-RU"/>
        </w:rPr>
        <w:t>580,7 тыс. рублей;</w:t>
      </w:r>
    </w:p>
    <w:p w:rsidR="00737DF9" w:rsidRPr="009B12C5" w:rsidRDefault="00737DF9" w:rsidP="00737DF9">
      <w:pPr>
        <w:tabs>
          <w:tab w:val="left" w:pos="142"/>
        </w:tabs>
        <w:ind w:firstLine="709"/>
        <w:jc w:val="both"/>
        <w:rPr>
          <w:szCs w:val="24"/>
          <w:lang w:eastAsia="ru-RU"/>
        </w:rPr>
      </w:pPr>
      <w:r w:rsidRPr="009B12C5">
        <w:rPr>
          <w:szCs w:val="24"/>
          <w:lang w:eastAsia="ru-RU"/>
        </w:rPr>
        <w:t>- по целевой статье расходов 77 7 02 00000 «Муниципальные учреждения» изменений не предлагается, плановые назначения остаются в сумме 118 905,3 тыс. рублей;</w:t>
      </w:r>
    </w:p>
    <w:p w:rsidR="00737DF9" w:rsidRDefault="00737DF9" w:rsidP="00737DF9">
      <w:pPr>
        <w:tabs>
          <w:tab w:val="left" w:pos="142"/>
        </w:tabs>
        <w:ind w:firstLine="709"/>
        <w:jc w:val="both"/>
        <w:rPr>
          <w:szCs w:val="24"/>
          <w:lang w:eastAsia="ru-RU"/>
        </w:rPr>
      </w:pPr>
      <w:r w:rsidRPr="009B12C5">
        <w:rPr>
          <w:szCs w:val="24"/>
          <w:lang w:eastAsia="ru-RU"/>
        </w:rPr>
        <w:t>- по целевой статье расходов 77 7 03 00000 «Мероприятия, проводимые в рамках непрограммных расходов» предлагается увеличить на сумму 13 405,1 тыс. рублей и утвердить в сумме 81 320,1 тыс. рублей.</w:t>
      </w:r>
    </w:p>
    <w:p w:rsidR="00737DF9" w:rsidRPr="009B12C5" w:rsidRDefault="00737DF9" w:rsidP="00737DF9">
      <w:pPr>
        <w:tabs>
          <w:tab w:val="left" w:pos="142"/>
        </w:tabs>
        <w:ind w:firstLine="709"/>
        <w:jc w:val="both"/>
        <w:rPr>
          <w:szCs w:val="24"/>
          <w:lang w:eastAsia="ru-RU"/>
        </w:rPr>
      </w:pPr>
      <w:r w:rsidRPr="009B12C5">
        <w:rPr>
          <w:szCs w:val="24"/>
          <w:lang w:eastAsia="ru-RU"/>
        </w:rPr>
        <w:t xml:space="preserve">8. С учетом предлагаемых изменений дефицит бюджета на 2024 год не изменится и составит в сумме 117 972,9 тыс. рублей. </w:t>
      </w:r>
    </w:p>
    <w:p w:rsidR="00737DF9" w:rsidRPr="001B31DA" w:rsidRDefault="00737DF9" w:rsidP="00737DF9">
      <w:pPr>
        <w:tabs>
          <w:tab w:val="left" w:pos="142"/>
        </w:tabs>
        <w:ind w:left="142" w:firstLine="425"/>
        <w:jc w:val="both"/>
        <w:rPr>
          <w:szCs w:val="24"/>
          <w:lang w:eastAsia="ru-RU"/>
        </w:rPr>
      </w:pPr>
      <w:r w:rsidRPr="001B31DA">
        <w:rPr>
          <w:szCs w:val="24"/>
          <w:lang w:eastAsia="ru-RU"/>
        </w:rPr>
        <w:t xml:space="preserve">Проекты решений </w:t>
      </w:r>
      <w:r>
        <w:rPr>
          <w:szCs w:val="24"/>
          <w:lang w:eastAsia="ru-RU"/>
        </w:rPr>
        <w:t xml:space="preserve">(№ 1 и № 2) </w:t>
      </w:r>
      <w:r w:rsidRPr="001B31DA">
        <w:rPr>
          <w:szCs w:val="24"/>
          <w:lang w:eastAsia="ru-RU"/>
        </w:rPr>
        <w:t xml:space="preserve">Совета депутатов Балахнинского муниципального округа «О внесении изменений и дополнений в решение Совета депутатов Балахнинского муниципального округа от 14.12.2023 № 541 «О бюджете Балахнинского муниципального округа на 2024 год и на плановый период 2025 и 2026 годов» могут быть приняты к рассмотрению. </w:t>
      </w:r>
    </w:p>
    <w:sectPr w:rsidR="00737DF9" w:rsidRPr="001B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3F0C"/>
    <w:multiLevelType w:val="multilevel"/>
    <w:tmpl w:val="DA4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7391B"/>
    <w:multiLevelType w:val="hybridMultilevel"/>
    <w:tmpl w:val="D1F09502"/>
    <w:lvl w:ilvl="0" w:tplc="72A461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BF691D"/>
    <w:multiLevelType w:val="hybridMultilevel"/>
    <w:tmpl w:val="B078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CF27F4"/>
    <w:multiLevelType w:val="multilevel"/>
    <w:tmpl w:val="E064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93A29"/>
    <w:multiLevelType w:val="hybridMultilevel"/>
    <w:tmpl w:val="A516C164"/>
    <w:lvl w:ilvl="0" w:tplc="2A5A3C3E">
      <w:start w:val="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9755DF3"/>
    <w:multiLevelType w:val="hybridMultilevel"/>
    <w:tmpl w:val="8C148406"/>
    <w:lvl w:ilvl="0" w:tplc="92204600">
      <w:start w:val="1"/>
      <w:numFmt w:val="bullet"/>
      <w:lvlText w:val=""/>
      <w:lvlJc w:val="left"/>
      <w:pPr>
        <w:ind w:left="1429" w:hanging="360"/>
      </w:pPr>
      <w:rPr>
        <w:rFonts w:ascii="Symbol" w:hAnsi="Symbol" w:hint="default"/>
      </w:rPr>
    </w:lvl>
    <w:lvl w:ilvl="1" w:tplc="4CE8E64C">
      <w:numFmt w:val="bullet"/>
      <w:lvlText w:val=""/>
      <w:lvlJc w:val="left"/>
      <w:pPr>
        <w:ind w:left="1220" w:firstLine="569"/>
      </w:pPr>
      <w:rPr>
        <w:rFonts w:ascii="Symbol" w:eastAsia="Symbol" w:hAnsi="Symbol"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2C492F"/>
    <w:multiLevelType w:val="hybridMultilevel"/>
    <w:tmpl w:val="26FCF398"/>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7" w15:restartNumberingAfterBreak="0">
    <w:nsid w:val="22FC520D"/>
    <w:multiLevelType w:val="hybridMultilevel"/>
    <w:tmpl w:val="01CC4C76"/>
    <w:lvl w:ilvl="0" w:tplc="72E890A2">
      <w:numFmt w:val="bullet"/>
      <w:lvlText w:val=""/>
      <w:lvlJc w:val="left"/>
      <w:pPr>
        <w:ind w:left="140" w:firstLine="569"/>
      </w:pPr>
      <w:rPr>
        <w:rFonts w:ascii="Symbol" w:eastAsia="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82667B1"/>
    <w:multiLevelType w:val="multilevel"/>
    <w:tmpl w:val="770E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749F7"/>
    <w:multiLevelType w:val="hybridMultilevel"/>
    <w:tmpl w:val="05FA9A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6A642AB"/>
    <w:multiLevelType w:val="multilevel"/>
    <w:tmpl w:val="9BC0978E"/>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1" w15:restartNumberingAfterBreak="0">
    <w:nsid w:val="3D006B7D"/>
    <w:multiLevelType w:val="hybridMultilevel"/>
    <w:tmpl w:val="5FF0F1FE"/>
    <w:lvl w:ilvl="0" w:tplc="372E2A9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400A7215"/>
    <w:multiLevelType w:val="hybridMultilevel"/>
    <w:tmpl w:val="4BD486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67B1036"/>
    <w:multiLevelType w:val="multilevel"/>
    <w:tmpl w:val="2668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A0543"/>
    <w:multiLevelType w:val="multilevel"/>
    <w:tmpl w:val="2D4881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56F3039E"/>
    <w:multiLevelType w:val="hybridMultilevel"/>
    <w:tmpl w:val="7388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094219"/>
    <w:multiLevelType w:val="hybridMultilevel"/>
    <w:tmpl w:val="C78A8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B816F5"/>
    <w:multiLevelType w:val="hybridMultilevel"/>
    <w:tmpl w:val="AFBAF0C6"/>
    <w:lvl w:ilvl="0" w:tplc="73921F5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3B03244"/>
    <w:multiLevelType w:val="multilevel"/>
    <w:tmpl w:val="50B6E8E8"/>
    <w:lvl w:ilvl="0">
      <w:start w:val="1"/>
      <w:numFmt w:val="bullet"/>
      <w:lvlText w:val=""/>
      <w:lvlJc w:val="left"/>
      <w:pPr>
        <w:tabs>
          <w:tab w:val="num" w:pos="1211"/>
        </w:tabs>
        <w:ind w:left="1211" w:hanging="360"/>
      </w:pPr>
      <w:rPr>
        <w:rFonts w:ascii="Symbol" w:hAnsi="Symbol" w:cs="Symbol" w:hint="default"/>
      </w:rPr>
    </w:lvl>
    <w:lvl w:ilvl="1">
      <w:start w:val="1"/>
      <w:numFmt w:val="bullet"/>
      <w:lvlText w:val=""/>
      <w:lvlJc w:val="left"/>
      <w:pPr>
        <w:tabs>
          <w:tab w:val="num" w:pos="1931"/>
        </w:tabs>
        <w:ind w:left="1931" w:hanging="360"/>
      </w:pPr>
      <w:rPr>
        <w:rFonts w:ascii="Symbol" w:hAnsi="Symbol" w:cs="Symbol" w:hint="default"/>
      </w:rPr>
    </w:lvl>
    <w:lvl w:ilvl="2">
      <w:start w:val="1"/>
      <w:numFmt w:val="bullet"/>
      <w:lvlText w:val=""/>
      <w:lvlJc w:val="left"/>
      <w:pPr>
        <w:tabs>
          <w:tab w:val="num" w:pos="2291"/>
        </w:tabs>
        <w:ind w:left="2291" w:hanging="360"/>
      </w:pPr>
      <w:rPr>
        <w:rFonts w:ascii="Symbol" w:hAnsi="Symbol" w:cs="Symbol" w:hint="default"/>
      </w:rPr>
    </w:lvl>
    <w:lvl w:ilvl="3">
      <w:start w:val="1"/>
      <w:numFmt w:val="bullet"/>
      <w:lvlText w:val=""/>
      <w:lvlJc w:val="left"/>
      <w:pPr>
        <w:tabs>
          <w:tab w:val="num" w:pos="2651"/>
        </w:tabs>
        <w:ind w:left="2651" w:hanging="360"/>
      </w:pPr>
      <w:rPr>
        <w:rFonts w:ascii="Symbol" w:hAnsi="Symbol" w:cs="Symbol" w:hint="default"/>
      </w:rPr>
    </w:lvl>
    <w:lvl w:ilvl="4">
      <w:start w:val="1"/>
      <w:numFmt w:val="bullet"/>
      <w:lvlText w:val=""/>
      <w:lvlJc w:val="left"/>
      <w:pPr>
        <w:tabs>
          <w:tab w:val="num" w:pos="3011"/>
        </w:tabs>
        <w:ind w:left="3011" w:hanging="360"/>
      </w:pPr>
      <w:rPr>
        <w:rFonts w:ascii="Symbol" w:hAnsi="Symbol" w:cs="Symbol" w:hint="default"/>
      </w:rPr>
    </w:lvl>
    <w:lvl w:ilvl="5">
      <w:start w:val="1"/>
      <w:numFmt w:val="bullet"/>
      <w:lvlText w:val=""/>
      <w:lvlJc w:val="left"/>
      <w:pPr>
        <w:tabs>
          <w:tab w:val="num" w:pos="3371"/>
        </w:tabs>
        <w:ind w:left="3371" w:hanging="360"/>
      </w:pPr>
      <w:rPr>
        <w:rFonts w:ascii="Symbol" w:hAnsi="Symbol" w:cs="Symbol" w:hint="default"/>
      </w:rPr>
    </w:lvl>
    <w:lvl w:ilvl="6">
      <w:start w:val="1"/>
      <w:numFmt w:val="bullet"/>
      <w:lvlText w:val=""/>
      <w:lvlJc w:val="left"/>
      <w:pPr>
        <w:tabs>
          <w:tab w:val="num" w:pos="3731"/>
        </w:tabs>
        <w:ind w:left="3731" w:hanging="360"/>
      </w:pPr>
      <w:rPr>
        <w:rFonts w:ascii="Symbol" w:hAnsi="Symbol" w:cs="Symbol" w:hint="default"/>
      </w:rPr>
    </w:lvl>
    <w:lvl w:ilvl="7">
      <w:start w:val="1"/>
      <w:numFmt w:val="bullet"/>
      <w:lvlText w:val=""/>
      <w:lvlJc w:val="left"/>
      <w:pPr>
        <w:tabs>
          <w:tab w:val="num" w:pos="4091"/>
        </w:tabs>
        <w:ind w:left="4091" w:hanging="360"/>
      </w:pPr>
      <w:rPr>
        <w:rFonts w:ascii="Symbol" w:hAnsi="Symbol" w:cs="Symbol" w:hint="default"/>
      </w:rPr>
    </w:lvl>
    <w:lvl w:ilvl="8">
      <w:start w:val="1"/>
      <w:numFmt w:val="bullet"/>
      <w:lvlText w:val=""/>
      <w:lvlJc w:val="left"/>
      <w:pPr>
        <w:tabs>
          <w:tab w:val="num" w:pos="4451"/>
        </w:tabs>
        <w:ind w:left="4451" w:hanging="360"/>
      </w:pPr>
      <w:rPr>
        <w:rFonts w:ascii="Symbol" w:hAnsi="Symbol" w:cs="Symbol" w:hint="default"/>
      </w:rPr>
    </w:lvl>
  </w:abstractNum>
  <w:abstractNum w:abstractNumId="19" w15:restartNumberingAfterBreak="0">
    <w:nsid w:val="682C3135"/>
    <w:multiLevelType w:val="hybridMultilevel"/>
    <w:tmpl w:val="3B56D2CA"/>
    <w:lvl w:ilvl="0" w:tplc="B1B4FC3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6A6B5874"/>
    <w:multiLevelType w:val="multilevel"/>
    <w:tmpl w:val="4860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359A9"/>
    <w:multiLevelType w:val="hybridMultilevel"/>
    <w:tmpl w:val="448AB2D6"/>
    <w:lvl w:ilvl="0" w:tplc="32C639E4">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136458"/>
    <w:multiLevelType w:val="multilevel"/>
    <w:tmpl w:val="BA68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17371"/>
    <w:multiLevelType w:val="hybridMultilevel"/>
    <w:tmpl w:val="FDCE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485F61"/>
    <w:multiLevelType w:val="hybridMultilevel"/>
    <w:tmpl w:val="0BFE84F6"/>
    <w:lvl w:ilvl="0" w:tplc="6D327E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BB46E67"/>
    <w:multiLevelType w:val="hybridMultilevel"/>
    <w:tmpl w:val="7DFE09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B85811"/>
    <w:multiLevelType w:val="multilevel"/>
    <w:tmpl w:val="8B7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C6632"/>
    <w:multiLevelType w:val="multilevel"/>
    <w:tmpl w:val="AEC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96374">
    <w:abstractNumId w:val="10"/>
  </w:num>
  <w:num w:numId="2" w16cid:durableId="1103112454">
    <w:abstractNumId w:val="18"/>
  </w:num>
  <w:num w:numId="3" w16cid:durableId="601036219">
    <w:abstractNumId w:val="14"/>
  </w:num>
  <w:num w:numId="4" w16cid:durableId="810942717">
    <w:abstractNumId w:val="6"/>
  </w:num>
  <w:num w:numId="5" w16cid:durableId="779568659">
    <w:abstractNumId w:val="2"/>
  </w:num>
  <w:num w:numId="6" w16cid:durableId="352925552">
    <w:abstractNumId w:val="5"/>
  </w:num>
  <w:num w:numId="7" w16cid:durableId="292100804">
    <w:abstractNumId w:val="7"/>
  </w:num>
  <w:num w:numId="8" w16cid:durableId="1126701580">
    <w:abstractNumId w:val="25"/>
  </w:num>
  <w:num w:numId="9" w16cid:durableId="424768345">
    <w:abstractNumId w:val="16"/>
  </w:num>
  <w:num w:numId="10" w16cid:durableId="634917883">
    <w:abstractNumId w:val="24"/>
  </w:num>
  <w:num w:numId="11" w16cid:durableId="1498305788">
    <w:abstractNumId w:val="8"/>
  </w:num>
  <w:num w:numId="12" w16cid:durableId="1015036187">
    <w:abstractNumId w:val="0"/>
  </w:num>
  <w:num w:numId="13" w16cid:durableId="129832309">
    <w:abstractNumId w:val="22"/>
  </w:num>
  <w:num w:numId="14" w16cid:durableId="213541767">
    <w:abstractNumId w:val="20"/>
  </w:num>
  <w:num w:numId="15" w16cid:durableId="995914747">
    <w:abstractNumId w:val="27"/>
  </w:num>
  <w:num w:numId="16" w16cid:durableId="1773472588">
    <w:abstractNumId w:val="3"/>
  </w:num>
  <w:num w:numId="17" w16cid:durableId="1210805108">
    <w:abstractNumId w:val="13"/>
  </w:num>
  <w:num w:numId="18" w16cid:durableId="875198732">
    <w:abstractNumId w:val="26"/>
  </w:num>
  <w:num w:numId="19" w16cid:durableId="882139032">
    <w:abstractNumId w:val="11"/>
  </w:num>
  <w:num w:numId="20" w16cid:durableId="1613704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9634332">
    <w:abstractNumId w:val="19"/>
  </w:num>
  <w:num w:numId="22" w16cid:durableId="2130392729">
    <w:abstractNumId w:val="21"/>
  </w:num>
  <w:num w:numId="23" w16cid:durableId="841311041">
    <w:abstractNumId w:val="23"/>
  </w:num>
  <w:num w:numId="24" w16cid:durableId="1022630915">
    <w:abstractNumId w:val="15"/>
  </w:num>
  <w:num w:numId="25" w16cid:durableId="89547899">
    <w:abstractNumId w:val="1"/>
  </w:num>
  <w:num w:numId="26" w16cid:durableId="744887153">
    <w:abstractNumId w:val="4"/>
  </w:num>
  <w:num w:numId="27" w16cid:durableId="686636999">
    <w:abstractNumId w:val="17"/>
  </w:num>
  <w:num w:numId="28" w16cid:durableId="1981034574">
    <w:abstractNumId w:val="9"/>
  </w:num>
  <w:num w:numId="29" w16cid:durableId="106753675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FD4"/>
    <w:rsid w:val="00017309"/>
    <w:rsid w:val="00023806"/>
    <w:rsid w:val="000238BF"/>
    <w:rsid w:val="000268EB"/>
    <w:rsid w:val="00030FD9"/>
    <w:rsid w:val="00031FD4"/>
    <w:rsid w:val="000324F7"/>
    <w:rsid w:val="000341FF"/>
    <w:rsid w:val="00047C96"/>
    <w:rsid w:val="00060658"/>
    <w:rsid w:val="00066226"/>
    <w:rsid w:val="00090E45"/>
    <w:rsid w:val="000920E3"/>
    <w:rsid w:val="000C7635"/>
    <w:rsid w:val="000D3EFF"/>
    <w:rsid w:val="000E05C9"/>
    <w:rsid w:val="000F7C51"/>
    <w:rsid w:val="001040C9"/>
    <w:rsid w:val="00123421"/>
    <w:rsid w:val="001434DC"/>
    <w:rsid w:val="00144390"/>
    <w:rsid w:val="00147A31"/>
    <w:rsid w:val="00154309"/>
    <w:rsid w:val="00160FC3"/>
    <w:rsid w:val="001637FE"/>
    <w:rsid w:val="00167B2C"/>
    <w:rsid w:val="001A5955"/>
    <w:rsid w:val="001A7627"/>
    <w:rsid w:val="001B2EE1"/>
    <w:rsid w:val="001B3420"/>
    <w:rsid w:val="001F358F"/>
    <w:rsid w:val="001F5DBD"/>
    <w:rsid w:val="00206036"/>
    <w:rsid w:val="00215DF7"/>
    <w:rsid w:val="00227CFC"/>
    <w:rsid w:val="0027475E"/>
    <w:rsid w:val="00291C28"/>
    <w:rsid w:val="00292526"/>
    <w:rsid w:val="002A5AD8"/>
    <w:rsid w:val="002B7EF4"/>
    <w:rsid w:val="00306DD1"/>
    <w:rsid w:val="00330999"/>
    <w:rsid w:val="00337CF9"/>
    <w:rsid w:val="0035698C"/>
    <w:rsid w:val="0036006E"/>
    <w:rsid w:val="00367D50"/>
    <w:rsid w:val="00373E38"/>
    <w:rsid w:val="003840BA"/>
    <w:rsid w:val="00397BE5"/>
    <w:rsid w:val="003A1DDF"/>
    <w:rsid w:val="003A5EF7"/>
    <w:rsid w:val="003A6101"/>
    <w:rsid w:val="003A7017"/>
    <w:rsid w:val="003B0078"/>
    <w:rsid w:val="003C054C"/>
    <w:rsid w:val="003C5DEE"/>
    <w:rsid w:val="003D3552"/>
    <w:rsid w:val="003E45EA"/>
    <w:rsid w:val="003F6005"/>
    <w:rsid w:val="0042191C"/>
    <w:rsid w:val="00433132"/>
    <w:rsid w:val="004578FE"/>
    <w:rsid w:val="0046275F"/>
    <w:rsid w:val="00494655"/>
    <w:rsid w:val="004951BD"/>
    <w:rsid w:val="004E5E3B"/>
    <w:rsid w:val="005012FF"/>
    <w:rsid w:val="00516BF7"/>
    <w:rsid w:val="005267F3"/>
    <w:rsid w:val="00531DC5"/>
    <w:rsid w:val="005344B6"/>
    <w:rsid w:val="00545DCE"/>
    <w:rsid w:val="00554E4E"/>
    <w:rsid w:val="005621A3"/>
    <w:rsid w:val="0057172E"/>
    <w:rsid w:val="00573A6E"/>
    <w:rsid w:val="00586573"/>
    <w:rsid w:val="00592F7C"/>
    <w:rsid w:val="005A0CDC"/>
    <w:rsid w:val="005B0AC7"/>
    <w:rsid w:val="005B2B38"/>
    <w:rsid w:val="005B5510"/>
    <w:rsid w:val="005C0598"/>
    <w:rsid w:val="005E2028"/>
    <w:rsid w:val="005F0259"/>
    <w:rsid w:val="005F0606"/>
    <w:rsid w:val="005F0E2E"/>
    <w:rsid w:val="00605BFE"/>
    <w:rsid w:val="006104EE"/>
    <w:rsid w:val="00611E3C"/>
    <w:rsid w:val="006230A2"/>
    <w:rsid w:val="00625714"/>
    <w:rsid w:val="00645DF5"/>
    <w:rsid w:val="006728BA"/>
    <w:rsid w:val="00676CE0"/>
    <w:rsid w:val="0068226B"/>
    <w:rsid w:val="00685E06"/>
    <w:rsid w:val="00691CEE"/>
    <w:rsid w:val="00693F17"/>
    <w:rsid w:val="0069569B"/>
    <w:rsid w:val="00696F51"/>
    <w:rsid w:val="006A366B"/>
    <w:rsid w:val="006D35BF"/>
    <w:rsid w:val="006D62BA"/>
    <w:rsid w:val="00704A5C"/>
    <w:rsid w:val="00706761"/>
    <w:rsid w:val="00713027"/>
    <w:rsid w:val="00714212"/>
    <w:rsid w:val="00720E21"/>
    <w:rsid w:val="00737DF9"/>
    <w:rsid w:val="00743658"/>
    <w:rsid w:val="00751D5C"/>
    <w:rsid w:val="00764434"/>
    <w:rsid w:val="007750EC"/>
    <w:rsid w:val="007844F1"/>
    <w:rsid w:val="00790721"/>
    <w:rsid w:val="0079224C"/>
    <w:rsid w:val="00795F65"/>
    <w:rsid w:val="007A3EC0"/>
    <w:rsid w:val="007A407B"/>
    <w:rsid w:val="007A7FBA"/>
    <w:rsid w:val="007B11A3"/>
    <w:rsid w:val="007C59A7"/>
    <w:rsid w:val="007C7B64"/>
    <w:rsid w:val="007D142F"/>
    <w:rsid w:val="007D6F2D"/>
    <w:rsid w:val="007F04CB"/>
    <w:rsid w:val="00812D88"/>
    <w:rsid w:val="00837DB4"/>
    <w:rsid w:val="0085193C"/>
    <w:rsid w:val="008629E5"/>
    <w:rsid w:val="0086387B"/>
    <w:rsid w:val="008667E8"/>
    <w:rsid w:val="00887273"/>
    <w:rsid w:val="008A5757"/>
    <w:rsid w:val="008B47EA"/>
    <w:rsid w:val="008B51A2"/>
    <w:rsid w:val="008C67D4"/>
    <w:rsid w:val="008D1062"/>
    <w:rsid w:val="008E4F32"/>
    <w:rsid w:val="008E5CFF"/>
    <w:rsid w:val="00900E71"/>
    <w:rsid w:val="0090558C"/>
    <w:rsid w:val="00954D83"/>
    <w:rsid w:val="009838C1"/>
    <w:rsid w:val="00987818"/>
    <w:rsid w:val="009B06DA"/>
    <w:rsid w:val="009C5271"/>
    <w:rsid w:val="009D0AD4"/>
    <w:rsid w:val="009E30A0"/>
    <w:rsid w:val="009F0ACC"/>
    <w:rsid w:val="009F5D62"/>
    <w:rsid w:val="009F78FA"/>
    <w:rsid w:val="00A0009B"/>
    <w:rsid w:val="00A01ED5"/>
    <w:rsid w:val="00A14217"/>
    <w:rsid w:val="00A1553C"/>
    <w:rsid w:val="00A165AD"/>
    <w:rsid w:val="00A27EC3"/>
    <w:rsid w:val="00A30A21"/>
    <w:rsid w:val="00A33C83"/>
    <w:rsid w:val="00A62AF6"/>
    <w:rsid w:val="00A66EB6"/>
    <w:rsid w:val="00A8509A"/>
    <w:rsid w:val="00A85D3D"/>
    <w:rsid w:val="00AA0468"/>
    <w:rsid w:val="00AC0D57"/>
    <w:rsid w:val="00B14805"/>
    <w:rsid w:val="00B23347"/>
    <w:rsid w:val="00B33BD1"/>
    <w:rsid w:val="00B42B0F"/>
    <w:rsid w:val="00B51CBA"/>
    <w:rsid w:val="00B66B59"/>
    <w:rsid w:val="00B85E87"/>
    <w:rsid w:val="00BA003C"/>
    <w:rsid w:val="00BA046B"/>
    <w:rsid w:val="00BA71B4"/>
    <w:rsid w:val="00BC3418"/>
    <w:rsid w:val="00BE7438"/>
    <w:rsid w:val="00BF1842"/>
    <w:rsid w:val="00BF2F86"/>
    <w:rsid w:val="00C03F29"/>
    <w:rsid w:val="00C20355"/>
    <w:rsid w:val="00C22D39"/>
    <w:rsid w:val="00C2590F"/>
    <w:rsid w:val="00C460B6"/>
    <w:rsid w:val="00C6123D"/>
    <w:rsid w:val="00C63AEA"/>
    <w:rsid w:val="00C70763"/>
    <w:rsid w:val="00C828B1"/>
    <w:rsid w:val="00C9392D"/>
    <w:rsid w:val="00C9582F"/>
    <w:rsid w:val="00C96349"/>
    <w:rsid w:val="00C96F89"/>
    <w:rsid w:val="00C979F0"/>
    <w:rsid w:val="00CA5C1A"/>
    <w:rsid w:val="00CB3E14"/>
    <w:rsid w:val="00CB6B9B"/>
    <w:rsid w:val="00CC48F4"/>
    <w:rsid w:val="00CE6DE0"/>
    <w:rsid w:val="00CF23C3"/>
    <w:rsid w:val="00D26319"/>
    <w:rsid w:val="00D51907"/>
    <w:rsid w:val="00D72063"/>
    <w:rsid w:val="00D9753E"/>
    <w:rsid w:val="00DA1A4C"/>
    <w:rsid w:val="00DB32AB"/>
    <w:rsid w:val="00DC222F"/>
    <w:rsid w:val="00DE648A"/>
    <w:rsid w:val="00E02320"/>
    <w:rsid w:val="00E25570"/>
    <w:rsid w:val="00E25C3C"/>
    <w:rsid w:val="00E354C4"/>
    <w:rsid w:val="00E51286"/>
    <w:rsid w:val="00E5497F"/>
    <w:rsid w:val="00E60921"/>
    <w:rsid w:val="00E6528E"/>
    <w:rsid w:val="00E6666F"/>
    <w:rsid w:val="00E96334"/>
    <w:rsid w:val="00EA7047"/>
    <w:rsid w:val="00EB7E77"/>
    <w:rsid w:val="00EC0FB1"/>
    <w:rsid w:val="00EC3038"/>
    <w:rsid w:val="00EC7B1A"/>
    <w:rsid w:val="00ED1989"/>
    <w:rsid w:val="00F02270"/>
    <w:rsid w:val="00F0761D"/>
    <w:rsid w:val="00F12D6F"/>
    <w:rsid w:val="00F22AEB"/>
    <w:rsid w:val="00F2599C"/>
    <w:rsid w:val="00F43133"/>
    <w:rsid w:val="00F44493"/>
    <w:rsid w:val="00F56636"/>
    <w:rsid w:val="00F61969"/>
    <w:rsid w:val="00F71AE7"/>
    <w:rsid w:val="00F749D6"/>
    <w:rsid w:val="00F77E08"/>
    <w:rsid w:val="00F91AA5"/>
    <w:rsid w:val="00FA0573"/>
    <w:rsid w:val="00FB51A7"/>
    <w:rsid w:val="00FB6501"/>
    <w:rsid w:val="00F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6BD7"/>
  <w15:docId w15:val="{AF6C3989-C9CB-4458-AA3F-D160B984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1"/>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1"/>
      </w:numPr>
      <w:suppressAutoHyphens/>
      <w:spacing w:before="240" w:after="120"/>
      <w:outlineLvl w:val="1"/>
    </w:pPr>
  </w:style>
  <w:style w:type="paragraph" w:styleId="3">
    <w:name w:val="heading 3"/>
    <w:basedOn w:val="a"/>
    <w:next w:val="a"/>
    <w:link w:val="30"/>
    <w:uiPriority w:val="99"/>
    <w:qFormat/>
    <w:rsid w:val="008B47EA"/>
    <w:pPr>
      <w:numPr>
        <w:ilvl w:val="2"/>
        <w:numId w:val="1"/>
      </w:numPr>
      <w:suppressAutoHyphens/>
      <w:spacing w:before="240" w:after="60"/>
      <w:outlineLvl w:val="2"/>
    </w:pPr>
  </w:style>
  <w:style w:type="paragraph" w:styleId="4">
    <w:name w:val="heading 4"/>
    <w:basedOn w:val="a"/>
    <w:next w:val="a"/>
    <w:link w:val="40"/>
    <w:uiPriority w:val="99"/>
    <w:qFormat/>
    <w:rsid w:val="008B47EA"/>
    <w:pPr>
      <w:keepNext/>
      <w:numPr>
        <w:ilvl w:val="3"/>
        <w:numId w:val="1"/>
      </w:numPr>
      <w:suppressAutoHyphens/>
      <w:spacing w:before="120" w:after="120"/>
      <w:outlineLvl w:val="3"/>
    </w:pPr>
  </w:style>
  <w:style w:type="paragraph" w:styleId="5">
    <w:name w:val="heading 5"/>
    <w:basedOn w:val="a"/>
    <w:next w:val="a"/>
    <w:link w:val="50"/>
    <w:uiPriority w:val="99"/>
    <w:qFormat/>
    <w:rsid w:val="008B47EA"/>
    <w:pPr>
      <w:numPr>
        <w:ilvl w:val="4"/>
        <w:numId w:val="1"/>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1"/>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1"/>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1"/>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1"/>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uiPriority w:val="99"/>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uiPriority w:val="99"/>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uiPriority w:val="99"/>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uiPriority w:val="59"/>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99"/>
    <w:qFormat/>
    <w:rsid w:val="003C054C"/>
    <w:pPr>
      <w:suppressAutoHyphens/>
      <w:ind w:left="720"/>
      <w:contextualSpacing/>
    </w:pPr>
  </w:style>
  <w:style w:type="character" w:customStyle="1" w:styleId="ac">
    <w:name w:val="Абзац списка Знак"/>
    <w:link w:val="ab"/>
    <w:uiPriority w:val="99"/>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aff0"/>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aff0">
    <w:name w:val="Заголовок Знак"/>
    <w:basedOn w:val="a0"/>
    <w:link w:val="aff"/>
    <w:uiPriority w:val="99"/>
    <w:rsid w:val="008B47EA"/>
    <w:rPr>
      <w:rFonts w:ascii="Liberation Sans" w:eastAsia="Microsoft YaHei" w:hAnsi="Liberation Sans" w:cs="Mangal"/>
      <w:sz w:val="28"/>
      <w:szCs w:val="28"/>
      <w:lang w:eastAsia="zh-CN"/>
    </w:rPr>
  </w:style>
  <w:style w:type="paragraph" w:customStyle="1" w:styleId="aff1">
    <w:name w:val="Верхний и нижний колонтитулы"/>
    <w:basedOn w:val="a"/>
    <w:qFormat/>
    <w:rsid w:val="008B47EA"/>
    <w:pPr>
      <w:suppressAutoHyphens/>
    </w:pPr>
  </w:style>
  <w:style w:type="paragraph" w:styleId="aff2">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2"/>
    <w:uiPriority w:val="99"/>
    <w:rsid w:val="008B47EA"/>
    <w:rPr>
      <w:rFonts w:ascii="Times New Roman" w:eastAsia="Times New Roman" w:hAnsi="Times New Roman" w:cs="Times New Roman"/>
      <w:sz w:val="24"/>
      <w:szCs w:val="20"/>
      <w:lang w:eastAsia="zh-CN"/>
    </w:rPr>
  </w:style>
  <w:style w:type="paragraph" w:customStyle="1" w:styleId="aff3">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4">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5">
    <w:name w:val="ТекстПисьма"/>
    <w:basedOn w:val="a"/>
    <w:uiPriority w:val="99"/>
    <w:qFormat/>
    <w:rsid w:val="008B47EA"/>
    <w:pPr>
      <w:suppressAutoHyphens/>
      <w:ind w:firstLine="709"/>
    </w:pPr>
  </w:style>
  <w:style w:type="paragraph" w:customStyle="1" w:styleId="aff6">
    <w:name w:val="ПолеПодпись"/>
    <w:basedOn w:val="a"/>
    <w:uiPriority w:val="99"/>
    <w:qFormat/>
    <w:rsid w:val="008B47EA"/>
    <w:pPr>
      <w:tabs>
        <w:tab w:val="right" w:pos="9072"/>
      </w:tabs>
      <w:suppressAutoHyphens/>
      <w:jc w:val="both"/>
    </w:pPr>
  </w:style>
  <w:style w:type="paragraph" w:styleId="aff7">
    <w:name w:val="annotation text"/>
    <w:basedOn w:val="a"/>
    <w:link w:val="1b"/>
    <w:uiPriority w:val="99"/>
    <w:qFormat/>
    <w:rsid w:val="008B47EA"/>
    <w:pPr>
      <w:suppressAutoHyphens/>
    </w:pPr>
  </w:style>
  <w:style w:type="character" w:customStyle="1" w:styleId="1b">
    <w:name w:val="Текст примечания Знак1"/>
    <w:basedOn w:val="a0"/>
    <w:link w:val="aff7"/>
    <w:uiPriority w:val="99"/>
    <w:rsid w:val="008B47EA"/>
    <w:rPr>
      <w:rFonts w:ascii="Times New Roman" w:eastAsia="Times New Roman" w:hAnsi="Times New Roman" w:cs="Times New Roman"/>
      <w:sz w:val="24"/>
      <w:szCs w:val="20"/>
      <w:lang w:eastAsia="zh-CN"/>
    </w:rPr>
  </w:style>
  <w:style w:type="paragraph" w:customStyle="1" w:styleId="aff8">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9">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a">
    <w:name w:val="List Number"/>
    <w:basedOn w:val="a"/>
    <w:uiPriority w:val="99"/>
    <w:qFormat/>
    <w:rsid w:val="008B47EA"/>
    <w:pPr>
      <w:suppressAutoHyphens/>
    </w:pPr>
    <w:rPr>
      <w:sz w:val="20"/>
    </w:rPr>
  </w:style>
  <w:style w:type="paragraph" w:styleId="25">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b">
    <w:name w:val="Сод_обычный"/>
    <w:basedOn w:val="a"/>
    <w:uiPriority w:val="99"/>
    <w:qFormat/>
    <w:rsid w:val="008B47EA"/>
    <w:pPr>
      <w:suppressAutoHyphens/>
      <w:ind w:firstLine="680"/>
      <w:jc w:val="both"/>
    </w:pPr>
  </w:style>
  <w:style w:type="paragraph" w:customStyle="1" w:styleId="affc">
    <w:name w:val="Содержимое таблицы"/>
    <w:basedOn w:val="a"/>
    <w:qFormat/>
    <w:rsid w:val="008B47EA"/>
    <w:pPr>
      <w:suppressLineNumbers/>
      <w:suppressAutoHyphens/>
    </w:pPr>
  </w:style>
  <w:style w:type="paragraph" w:customStyle="1" w:styleId="affd">
    <w:name w:val="Заголовок таблицы"/>
    <w:basedOn w:val="affc"/>
    <w:qFormat/>
    <w:rsid w:val="008B47EA"/>
    <w:pPr>
      <w:jc w:val="center"/>
    </w:pPr>
    <w:rPr>
      <w:b/>
      <w:bCs/>
    </w:rPr>
  </w:style>
  <w:style w:type="paragraph" w:customStyle="1" w:styleId="affe">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f">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0">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0"/>
    <w:uiPriority w:val="99"/>
    <w:rsid w:val="008B47EA"/>
    <w:rPr>
      <w:rFonts w:ascii="Tahoma" w:eastAsia="Calibri" w:hAnsi="Tahoma" w:cs="Tahoma"/>
      <w:sz w:val="16"/>
      <w:szCs w:val="16"/>
    </w:rPr>
  </w:style>
  <w:style w:type="paragraph" w:styleId="afff1">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1"/>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2">
    <w:name w:val="ПолеНомер"/>
    <w:basedOn w:val="a"/>
    <w:uiPriority w:val="99"/>
    <w:qFormat/>
    <w:rsid w:val="008B47EA"/>
    <w:pPr>
      <w:suppressAutoHyphens/>
      <w:ind w:firstLine="0"/>
    </w:pPr>
    <w:rPr>
      <w:sz w:val="28"/>
      <w:lang w:eastAsia="ru-RU"/>
    </w:rPr>
  </w:style>
  <w:style w:type="paragraph" w:customStyle="1" w:styleId="26">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3">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4">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4"/>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7">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8">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9">
    <w:name w:val="Сетка таблицы2"/>
    <w:basedOn w:val="a1"/>
    <w:next w:val="a8"/>
    <w:uiPriority w:val="59"/>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footnote text"/>
    <w:basedOn w:val="a"/>
    <w:link w:val="afff6"/>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6">
    <w:name w:val="Текст сноски Знак"/>
    <w:basedOn w:val="a0"/>
    <w:link w:val="afff5"/>
    <w:uiPriority w:val="99"/>
    <w:semiHidden/>
    <w:rsid w:val="008B47EA"/>
    <w:rPr>
      <w:sz w:val="20"/>
      <w:szCs w:val="20"/>
    </w:rPr>
  </w:style>
  <w:style w:type="character" w:styleId="afff7">
    <w:name w:val="footnote reference"/>
    <w:basedOn w:val="a0"/>
    <w:uiPriority w:val="99"/>
    <w:semiHidden/>
    <w:unhideWhenUsed/>
    <w:rsid w:val="008B47EA"/>
    <w:rPr>
      <w:vertAlign w:val="superscript"/>
    </w:rPr>
  </w:style>
  <w:style w:type="numbering" w:customStyle="1" w:styleId="2a">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2c">
    <w:name w:val="Заголовок2"/>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 w:type="paragraph" w:styleId="afff8">
    <w:name w:val="annotation subject"/>
    <w:basedOn w:val="aff7"/>
    <w:next w:val="aff7"/>
    <w:link w:val="afff9"/>
    <w:uiPriority w:val="99"/>
    <w:semiHidden/>
    <w:unhideWhenUsed/>
    <w:rsid w:val="000341FF"/>
    <w:rPr>
      <w:b/>
      <w:bCs/>
      <w:sz w:val="20"/>
    </w:rPr>
  </w:style>
  <w:style w:type="character" w:customStyle="1" w:styleId="afff9">
    <w:name w:val="Тема примечания Знак"/>
    <w:basedOn w:val="1b"/>
    <w:link w:val="afff8"/>
    <w:uiPriority w:val="99"/>
    <w:semiHidden/>
    <w:rsid w:val="000341FF"/>
    <w:rPr>
      <w:rFonts w:ascii="Times New Roman" w:eastAsia="Times New Roman" w:hAnsi="Times New Roman" w:cs="Times New Roman"/>
      <w:b/>
      <w:bCs/>
      <w:sz w:val="20"/>
      <w:szCs w:val="20"/>
      <w:lang w:eastAsia="zh-CN"/>
    </w:rPr>
  </w:style>
  <w:style w:type="character" w:customStyle="1" w:styleId="extendedtext-short">
    <w:name w:val="extendedtext-short"/>
    <w:basedOn w:val="a0"/>
    <w:rsid w:val="000341FF"/>
  </w:style>
  <w:style w:type="paragraph" w:customStyle="1" w:styleId="100">
    <w:name w:val="Знак10 Знак Знак"/>
    <w:basedOn w:val="a"/>
    <w:rsid w:val="000341FF"/>
    <w:pPr>
      <w:spacing w:before="100" w:beforeAutospacing="1" w:after="100" w:afterAutospacing="1"/>
      <w:ind w:firstLine="0"/>
    </w:pPr>
    <w:rPr>
      <w:rFonts w:ascii="Tahoma" w:hAnsi="Tahoma" w:cs="Tahoma"/>
      <w:sz w:val="20"/>
      <w:lang w:val="en-US" w:eastAsia="en-US"/>
    </w:rPr>
  </w:style>
  <w:style w:type="paragraph" w:customStyle="1" w:styleId="Arial12">
    <w:name w:val="Arial12"/>
    <w:basedOn w:val="a"/>
    <w:rsid w:val="000341FF"/>
    <w:pPr>
      <w:ind w:firstLine="851"/>
      <w:jc w:val="both"/>
    </w:pPr>
    <w:rPr>
      <w:rFonts w:ascii="Arial" w:hAnsi="Arial" w:cs="Arial"/>
      <w:szCs w:val="24"/>
      <w:lang w:eastAsia="ru-RU"/>
    </w:rPr>
  </w:style>
  <w:style w:type="numbering" w:customStyle="1" w:styleId="47">
    <w:name w:val="Нет списка4"/>
    <w:next w:val="a2"/>
    <w:uiPriority w:val="99"/>
    <w:semiHidden/>
    <w:unhideWhenUsed/>
    <w:rsid w:val="00685E06"/>
  </w:style>
  <w:style w:type="numbering" w:customStyle="1" w:styleId="WW8Num11">
    <w:name w:val="WW8Num11"/>
    <w:qFormat/>
    <w:rsid w:val="00685E06"/>
  </w:style>
  <w:style w:type="numbering" w:customStyle="1" w:styleId="WW8StyleNum5">
    <w:name w:val="WW8StyleNum5"/>
    <w:qFormat/>
    <w:rsid w:val="00685E06"/>
  </w:style>
  <w:style w:type="numbering" w:customStyle="1" w:styleId="WW8StyleNum11">
    <w:name w:val="WW8StyleNum11"/>
    <w:qFormat/>
    <w:rsid w:val="00685E06"/>
  </w:style>
  <w:style w:type="numbering" w:customStyle="1" w:styleId="WW8StyleNum21">
    <w:name w:val="WW8StyleNum21"/>
    <w:qFormat/>
    <w:rsid w:val="00685E06"/>
  </w:style>
  <w:style w:type="numbering" w:customStyle="1" w:styleId="WW8StyleNum31">
    <w:name w:val="WW8StyleNum31"/>
    <w:qFormat/>
    <w:rsid w:val="00685E06"/>
  </w:style>
  <w:style w:type="numbering" w:customStyle="1" w:styleId="WW8StyleNum41">
    <w:name w:val="WW8StyleNum41"/>
    <w:qFormat/>
    <w:rsid w:val="00685E06"/>
  </w:style>
  <w:style w:type="numbering" w:customStyle="1" w:styleId="120">
    <w:name w:val="Нет списка12"/>
    <w:uiPriority w:val="99"/>
    <w:semiHidden/>
    <w:unhideWhenUsed/>
    <w:qFormat/>
    <w:rsid w:val="00685E06"/>
  </w:style>
  <w:style w:type="numbering" w:customStyle="1" w:styleId="1110">
    <w:name w:val="Нет списка111"/>
    <w:semiHidden/>
    <w:qFormat/>
    <w:rsid w:val="00685E06"/>
  </w:style>
  <w:style w:type="table" w:customStyle="1" w:styleId="72">
    <w:name w:val="Сетка таблицы7"/>
    <w:basedOn w:val="a1"/>
    <w:next w:val="a8"/>
    <w:uiPriority w:val="59"/>
    <w:rsid w:val="00685E0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685E06"/>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685E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8"/>
    <w:rsid w:val="00C460B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129">
      <w:bodyDiv w:val="1"/>
      <w:marLeft w:val="0"/>
      <w:marRight w:val="0"/>
      <w:marTop w:val="0"/>
      <w:marBottom w:val="0"/>
      <w:divBdr>
        <w:top w:val="none" w:sz="0" w:space="0" w:color="auto"/>
        <w:left w:val="none" w:sz="0" w:space="0" w:color="auto"/>
        <w:bottom w:val="none" w:sz="0" w:space="0" w:color="auto"/>
        <w:right w:val="none" w:sz="0" w:space="0" w:color="auto"/>
      </w:divBdr>
    </w:div>
    <w:div w:id="1266308826">
      <w:bodyDiv w:val="1"/>
      <w:marLeft w:val="0"/>
      <w:marRight w:val="0"/>
      <w:marTop w:val="0"/>
      <w:marBottom w:val="0"/>
      <w:divBdr>
        <w:top w:val="none" w:sz="0" w:space="0" w:color="auto"/>
        <w:left w:val="none" w:sz="0" w:space="0" w:color="auto"/>
        <w:bottom w:val="none" w:sz="0" w:space="0" w:color="auto"/>
        <w:right w:val="none" w:sz="0" w:space="0" w:color="auto"/>
      </w:divBdr>
    </w:div>
    <w:div w:id="13704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Светлана Васильевна</dc:creator>
  <cp:lastModifiedBy>Гурылева Евгения Владимировна</cp:lastModifiedBy>
  <cp:revision>8</cp:revision>
  <dcterms:created xsi:type="dcterms:W3CDTF">2024-12-25T11:16:00Z</dcterms:created>
  <dcterms:modified xsi:type="dcterms:W3CDTF">2025-01-13T10:24:00Z</dcterms:modified>
</cp:coreProperties>
</file>