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6F6A24" w:rsidRPr="006F6A24" w:rsidRDefault="006F6A24" w:rsidP="006F6A24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«Экспертиза </w:t>
      </w:r>
      <w:r w:rsidRPr="006F6A24">
        <w:rPr>
          <w:b/>
          <w:szCs w:val="24"/>
        </w:rPr>
        <w:t>Проект</w:t>
      </w:r>
      <w:r>
        <w:rPr>
          <w:b/>
          <w:szCs w:val="24"/>
        </w:rPr>
        <w:t>а</w:t>
      </w:r>
      <w:r w:rsidRPr="006F6A24">
        <w:rPr>
          <w:b/>
          <w:szCs w:val="24"/>
        </w:rPr>
        <w:t xml:space="preserve">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</w:p>
    <w:p w:rsidR="006F6A24" w:rsidRPr="006F6A24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6F6A24">
        <w:rPr>
          <w:szCs w:val="24"/>
          <w:lang w:eastAsia="ru-RU"/>
        </w:rPr>
        <w:t xml:space="preserve">В соответствии </w:t>
      </w:r>
      <w:r w:rsidR="006F6A24" w:rsidRPr="006F6A24">
        <w:rPr>
          <w:szCs w:val="24"/>
          <w:lang w:eastAsia="ru-RU"/>
        </w:rPr>
        <w:t>с п. 1.6</w:t>
      </w:r>
      <w:r w:rsidR="00047C96" w:rsidRPr="006F6A24">
        <w:rPr>
          <w:szCs w:val="24"/>
          <w:lang w:eastAsia="ru-RU"/>
        </w:rPr>
        <w:t>. плана работы на 202</w:t>
      </w:r>
      <w:r w:rsidR="000F7C51" w:rsidRPr="006F6A24">
        <w:rPr>
          <w:szCs w:val="24"/>
          <w:lang w:eastAsia="ru-RU"/>
        </w:rPr>
        <w:t>4</w:t>
      </w:r>
      <w:r w:rsidR="00047C96" w:rsidRPr="006F6A24">
        <w:rPr>
          <w:szCs w:val="24"/>
          <w:lang w:eastAsia="ru-RU"/>
        </w:rPr>
        <w:t xml:space="preserve"> год </w:t>
      </w:r>
      <w:r w:rsidRPr="006F6A24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6F6A24">
        <w:rPr>
          <w:bCs/>
          <w:szCs w:val="24"/>
          <w:lang w:eastAsia="ru-RU"/>
        </w:rPr>
        <w:t xml:space="preserve">экспертно-аналитическое мероприятие </w:t>
      </w:r>
      <w:r w:rsidR="006F6A24" w:rsidRPr="006F6A24">
        <w:rPr>
          <w:bCs/>
          <w:szCs w:val="24"/>
          <w:lang w:eastAsia="ru-RU"/>
        </w:rPr>
        <w:t>«Экспертиза Проекта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годов».</w:t>
      </w:r>
    </w:p>
    <w:p w:rsidR="006F6A24" w:rsidRPr="006F6A24" w:rsidRDefault="00031FD4" w:rsidP="00751D5C">
      <w:pPr>
        <w:pStyle w:val="a3"/>
        <w:jc w:val="both"/>
        <w:rPr>
          <w:rFonts w:eastAsia="Times New Roman"/>
          <w:szCs w:val="24"/>
          <w:lang w:eastAsia="ru-RU"/>
        </w:rPr>
      </w:pPr>
      <w:r w:rsidRPr="006F6A24">
        <w:rPr>
          <w:b/>
          <w:szCs w:val="24"/>
          <w:lang w:eastAsia="ru-RU"/>
        </w:rPr>
        <w:t>Цель мероприятия:</w:t>
      </w:r>
      <w:r w:rsidRPr="006F6A24">
        <w:rPr>
          <w:szCs w:val="24"/>
          <w:lang w:eastAsia="ru-RU"/>
        </w:rPr>
        <w:t xml:space="preserve"> </w:t>
      </w:r>
      <w:r w:rsidR="006F6A24" w:rsidRPr="006F6A24">
        <w:rPr>
          <w:rFonts w:eastAsia="Times New Roman"/>
          <w:szCs w:val="24"/>
          <w:lang w:eastAsia="ru-RU"/>
        </w:rPr>
        <w:t>установить 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округа.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6F6A24" w:rsidRPr="009E03E2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9E03E2">
        <w:rPr>
          <w:szCs w:val="24"/>
          <w:lang w:eastAsia="ru-RU"/>
        </w:rPr>
        <w:t>1. Проектом решения предлагается утвердить основные характеристики бюджета Балахнинского муниципального округа в следующих размерах:</w:t>
      </w:r>
    </w:p>
    <w:p w:rsidR="006F6A24" w:rsidRPr="009E03E2" w:rsidRDefault="006F6A24" w:rsidP="006F6A24">
      <w:pPr>
        <w:tabs>
          <w:tab w:val="left" w:pos="142"/>
          <w:tab w:val="left" w:pos="1701"/>
        </w:tabs>
        <w:ind w:firstLine="1985"/>
        <w:rPr>
          <w:szCs w:val="24"/>
          <w:lang w:eastAsia="ru-RU"/>
        </w:rPr>
      </w:pPr>
      <w:r w:rsidRPr="009E03E2">
        <w:rPr>
          <w:szCs w:val="24"/>
          <w:lang w:eastAsia="ru-RU"/>
        </w:rPr>
        <w:t>на 2024 год: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общий объем доходов в сумме 4</w:t>
      </w:r>
      <w:r>
        <w:rPr>
          <w:szCs w:val="24"/>
          <w:lang w:eastAsia="ru-RU"/>
        </w:rPr>
        <w:t> 418 749,3</w:t>
      </w:r>
      <w:r w:rsidRPr="009E03E2">
        <w:rPr>
          <w:szCs w:val="24"/>
          <w:lang w:eastAsia="ru-RU"/>
        </w:rPr>
        <w:t xml:space="preserve"> тыс. рублей;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общий объем расходов в сумме 4</w:t>
      </w:r>
      <w:r>
        <w:rPr>
          <w:szCs w:val="24"/>
          <w:lang w:eastAsia="ru-RU"/>
        </w:rPr>
        <w:t> 536 722,2</w:t>
      </w:r>
      <w:r w:rsidRPr="009E03E2">
        <w:rPr>
          <w:szCs w:val="24"/>
          <w:lang w:eastAsia="ru-RU"/>
        </w:rPr>
        <w:t xml:space="preserve"> тыс. рублей;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 xml:space="preserve">- размер дефицита в сумме </w:t>
      </w:r>
      <w:r>
        <w:rPr>
          <w:szCs w:val="24"/>
          <w:lang w:eastAsia="ru-RU"/>
        </w:rPr>
        <w:t>117 972,9</w:t>
      </w:r>
      <w:r w:rsidRPr="009E03E2">
        <w:rPr>
          <w:szCs w:val="24"/>
          <w:lang w:eastAsia="ru-RU"/>
        </w:rPr>
        <w:t xml:space="preserve"> тыс. рублей.</w:t>
      </w:r>
    </w:p>
    <w:p w:rsidR="006F6A24" w:rsidRPr="009E03E2" w:rsidRDefault="006F6A24" w:rsidP="006F6A24">
      <w:pPr>
        <w:tabs>
          <w:tab w:val="left" w:pos="142"/>
        </w:tabs>
        <w:ind w:firstLine="1985"/>
        <w:rPr>
          <w:szCs w:val="24"/>
          <w:lang w:eastAsia="ru-RU"/>
        </w:rPr>
      </w:pPr>
      <w:r w:rsidRPr="009E03E2">
        <w:rPr>
          <w:szCs w:val="24"/>
          <w:lang w:eastAsia="ru-RU"/>
        </w:rPr>
        <w:t>на 2025 год: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общий объем доходов в сумме 2 716 517,6 тыс. рублей;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общий объем расходов в сумме 2 716 517,6 тыс. рублей;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размер дефицита в сумме 0,0 тыс. рублей.</w:t>
      </w:r>
    </w:p>
    <w:p w:rsidR="006F6A24" w:rsidRPr="009E03E2" w:rsidRDefault="006F6A24" w:rsidP="006F6A24">
      <w:pPr>
        <w:tabs>
          <w:tab w:val="left" w:pos="142"/>
        </w:tabs>
        <w:ind w:firstLine="1985"/>
        <w:rPr>
          <w:szCs w:val="24"/>
          <w:lang w:eastAsia="ru-RU"/>
        </w:rPr>
      </w:pPr>
      <w:r w:rsidRPr="009E03E2">
        <w:rPr>
          <w:szCs w:val="24"/>
          <w:lang w:eastAsia="ru-RU"/>
        </w:rPr>
        <w:t>на 2026 год: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общий объем доходов в сумме 2 763 636,1 тыс. рублей;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общий объем расходов в сумме 2 763 636,1 тыс. рублей;</w:t>
      </w:r>
    </w:p>
    <w:p w:rsidR="006F6A24" w:rsidRPr="009E03E2" w:rsidRDefault="006F6A24" w:rsidP="006F6A24">
      <w:pPr>
        <w:tabs>
          <w:tab w:val="left" w:pos="142"/>
        </w:tabs>
        <w:ind w:firstLine="0"/>
        <w:rPr>
          <w:szCs w:val="24"/>
          <w:lang w:eastAsia="ru-RU"/>
        </w:rPr>
      </w:pPr>
      <w:r w:rsidRPr="009E03E2">
        <w:rPr>
          <w:szCs w:val="24"/>
          <w:lang w:eastAsia="ru-RU"/>
        </w:rPr>
        <w:t>- размер дефицита в сумме 0,0 тыс. рублей.</w:t>
      </w:r>
    </w:p>
    <w:p w:rsidR="006F6A24" w:rsidRPr="00413E11" w:rsidRDefault="006F6A24" w:rsidP="006F6A24">
      <w:pPr>
        <w:ind w:firstLine="540"/>
        <w:jc w:val="both"/>
        <w:rPr>
          <w:lang w:eastAsia="ru-RU"/>
        </w:rPr>
      </w:pPr>
      <w:r w:rsidRPr="00AA246D">
        <w:rPr>
          <w:szCs w:val="24"/>
          <w:lang w:eastAsia="ru-RU"/>
        </w:rPr>
        <w:t>2. </w:t>
      </w:r>
      <w:r w:rsidRPr="00413E11">
        <w:rPr>
          <w:lang w:eastAsia="ru-RU"/>
        </w:rPr>
        <w:t>Представленным Проектом решения предлагается утвердить общий объем доходов на 2024 год в сумме 4</w:t>
      </w:r>
      <w:r>
        <w:rPr>
          <w:lang w:eastAsia="ru-RU"/>
        </w:rPr>
        <w:t> 418 749,3</w:t>
      </w:r>
      <w:r w:rsidRPr="00413E11">
        <w:rPr>
          <w:lang w:eastAsia="ru-RU"/>
        </w:rPr>
        <w:t xml:space="preserve"> тыс. рублей с увеличением на </w:t>
      </w:r>
      <w:r>
        <w:rPr>
          <w:lang w:eastAsia="ru-RU"/>
        </w:rPr>
        <w:t>83 327,9</w:t>
      </w:r>
      <w:r w:rsidRPr="00413E11">
        <w:rPr>
          <w:lang w:eastAsia="ru-RU"/>
        </w:rPr>
        <w:t xml:space="preserve"> тыс. рублей от плановых назначений по доходам уточненного бюджета.  </w:t>
      </w:r>
    </w:p>
    <w:p w:rsidR="006F6A24" w:rsidRPr="008A2C53" w:rsidRDefault="006F6A24" w:rsidP="00CE1722">
      <w:pPr>
        <w:ind w:firstLine="540"/>
        <w:jc w:val="both"/>
        <w:rPr>
          <w:lang w:eastAsia="ru-RU"/>
        </w:rPr>
      </w:pPr>
      <w:r w:rsidRPr="008A2C53">
        <w:rPr>
          <w:lang w:eastAsia="ru-RU"/>
        </w:rPr>
        <w:t>Проектом решения предлагается по налоговым и неналоговым доходам, в связи с ожидаемым исполнением 2024 года увеличить плановые назначения на сумму 21 800,0 тыс. рублей, с 1 183 120,5 тыс. рублей до 1 204 920,5 тыс. рублей</w:t>
      </w:r>
      <w:r w:rsidR="00CE1722">
        <w:rPr>
          <w:lang w:eastAsia="ru-RU"/>
        </w:rPr>
        <w:t>.</w:t>
      </w:r>
      <w:r w:rsidRPr="008A2C53">
        <w:rPr>
          <w:lang w:eastAsia="ru-RU"/>
        </w:rPr>
        <w:t xml:space="preserve"> </w:t>
      </w:r>
    </w:p>
    <w:p w:rsidR="006F6A24" w:rsidRPr="008A2C53" w:rsidRDefault="006F6A24" w:rsidP="00CE1722">
      <w:pPr>
        <w:ind w:firstLine="540"/>
        <w:jc w:val="both"/>
        <w:rPr>
          <w:lang w:eastAsia="ru-RU"/>
        </w:rPr>
      </w:pPr>
      <w:r w:rsidRPr="008A2C53">
        <w:rPr>
          <w:lang w:eastAsia="ru-RU"/>
        </w:rPr>
        <w:t>По безвозмездным поступлениям Проектом решения предлагается увеличить плановые назначения на сумму 61 527,9 тыс. рублей, с 3 152 300,9 тыс. рублей до 3</w:t>
      </w:r>
      <w:r w:rsidR="00CE1722">
        <w:rPr>
          <w:lang w:eastAsia="ru-RU"/>
        </w:rPr>
        <w:t> </w:t>
      </w:r>
      <w:r w:rsidRPr="008A2C53">
        <w:rPr>
          <w:lang w:eastAsia="ru-RU"/>
        </w:rPr>
        <w:t>213</w:t>
      </w:r>
      <w:r w:rsidR="00CE1722">
        <w:rPr>
          <w:lang w:eastAsia="ru-RU"/>
        </w:rPr>
        <w:t> </w:t>
      </w:r>
      <w:r w:rsidRPr="008A2C53">
        <w:rPr>
          <w:lang w:eastAsia="ru-RU"/>
        </w:rPr>
        <w:t>828,8 тыс. рубле</w:t>
      </w:r>
      <w:r w:rsidR="00CE1722">
        <w:rPr>
          <w:lang w:eastAsia="ru-RU"/>
        </w:rPr>
        <w:t xml:space="preserve">. </w:t>
      </w:r>
      <w:r w:rsidRPr="008A2C53">
        <w:rPr>
          <w:lang w:eastAsia="ru-RU"/>
        </w:rPr>
        <w:t xml:space="preserve"> </w:t>
      </w:r>
    </w:p>
    <w:p w:rsidR="006F6A24" w:rsidRPr="00AA246D" w:rsidRDefault="006F6A24" w:rsidP="006F6A24">
      <w:pPr>
        <w:ind w:firstLine="540"/>
        <w:jc w:val="both"/>
        <w:rPr>
          <w:szCs w:val="24"/>
          <w:lang w:eastAsia="ru-RU"/>
        </w:rPr>
      </w:pPr>
      <w:r w:rsidRPr="00AA246D">
        <w:rPr>
          <w:szCs w:val="24"/>
          <w:lang w:eastAsia="ru-RU"/>
        </w:rPr>
        <w:t xml:space="preserve">Проектом решения изменений плановых назначений доходной части бюджета Балахнинского муниципального округа на 2025 год и на 2026 год не предлагается. </w:t>
      </w:r>
    </w:p>
    <w:p w:rsidR="006F6A24" w:rsidRPr="008A2C53" w:rsidRDefault="006F6A24" w:rsidP="006F6A24">
      <w:pPr>
        <w:ind w:firstLine="540"/>
        <w:jc w:val="both"/>
        <w:rPr>
          <w:szCs w:val="24"/>
          <w:lang w:eastAsia="ru-RU"/>
        </w:rPr>
      </w:pPr>
      <w:r w:rsidRPr="00A573D0">
        <w:rPr>
          <w:szCs w:val="24"/>
          <w:lang w:eastAsia="ru-RU"/>
        </w:rPr>
        <w:t xml:space="preserve">3. </w:t>
      </w:r>
      <w:r w:rsidRPr="008A2C53">
        <w:rPr>
          <w:szCs w:val="24"/>
          <w:lang w:eastAsia="ru-RU"/>
        </w:rPr>
        <w:t xml:space="preserve">Согласно представленному на рассмотрение Проекту решения, изменения общего объема расходов бюджета Балахнинского муниципального округа на 2024 год предусмотрены с увеличением на 83 327,9 тыс. рублей. Общий размер расходов бюджета округа, предложенный к утверждению на 2024 год, составит 4 536 722,2 тыс. рублей. </w:t>
      </w:r>
    </w:p>
    <w:p w:rsidR="006F6A24" w:rsidRDefault="006F6A24" w:rsidP="006F6A24">
      <w:pPr>
        <w:ind w:firstLine="540"/>
        <w:jc w:val="both"/>
        <w:rPr>
          <w:szCs w:val="24"/>
          <w:lang w:eastAsia="ru-RU"/>
        </w:rPr>
      </w:pPr>
      <w:r w:rsidRPr="008A2C53">
        <w:rPr>
          <w:szCs w:val="24"/>
          <w:lang w:eastAsia="ru-RU"/>
        </w:rPr>
        <w:t xml:space="preserve">Изменений общего объема плановых ассигнований по расходам бюджета на 2025 год и на 2026 год Проектом не предлагается. </w:t>
      </w:r>
    </w:p>
    <w:p w:rsidR="006F6A24" w:rsidRPr="00A573D0" w:rsidRDefault="006F6A24" w:rsidP="006F6A24">
      <w:pPr>
        <w:ind w:firstLine="540"/>
        <w:jc w:val="both"/>
        <w:rPr>
          <w:szCs w:val="24"/>
          <w:lang w:eastAsia="ru-RU"/>
        </w:rPr>
      </w:pPr>
      <w:r w:rsidRPr="00A573D0">
        <w:rPr>
          <w:szCs w:val="24"/>
          <w:lang w:eastAsia="ru-RU"/>
        </w:rPr>
        <w:lastRenderedPageBreak/>
        <w:t>Плановые расходы в 2025 году составят 2 680 493,5 (+ 36 024,1 условно утвержденные расходы) = 2 716 517,6 тыс. рублей, в 2026 году 2 688 841,0 (+ 74 795,1 условно утвержденные расходы) = 2 763 636,1 тыс. рублей.</w:t>
      </w:r>
    </w:p>
    <w:p w:rsidR="006F6A24" w:rsidRPr="006F6A24" w:rsidRDefault="006F6A24" w:rsidP="006F6A24">
      <w:pPr>
        <w:tabs>
          <w:tab w:val="left" w:pos="709"/>
          <w:tab w:val="left" w:pos="1560"/>
        </w:tabs>
        <w:ind w:firstLine="540"/>
        <w:jc w:val="both"/>
        <w:rPr>
          <w:szCs w:val="24"/>
          <w:lang w:eastAsia="ru-RU"/>
        </w:rPr>
      </w:pPr>
      <w:r w:rsidRPr="00A573D0">
        <w:rPr>
          <w:szCs w:val="24"/>
          <w:lang w:eastAsia="ru-RU"/>
        </w:rPr>
        <w:t xml:space="preserve">4. </w:t>
      </w:r>
      <w:r w:rsidRPr="00A573D0">
        <w:rPr>
          <w:lang w:eastAsia="ru-RU"/>
        </w:rPr>
        <w:t xml:space="preserve">По функциональной классификации расходов бюджетов бюджетной системы </w:t>
      </w:r>
      <w:r w:rsidRPr="006F6A24">
        <w:rPr>
          <w:lang w:eastAsia="ru-RU"/>
        </w:rPr>
        <w:t>Российской Федерации и</w:t>
      </w:r>
      <w:r w:rsidRPr="006F6A24">
        <w:rPr>
          <w:szCs w:val="24"/>
          <w:lang w:eastAsia="ru-RU"/>
        </w:rPr>
        <w:t>зменения плановых назначений Проектом решения предлагается по следующим разделам:</w:t>
      </w:r>
    </w:p>
    <w:p w:rsidR="006F6A24" w:rsidRPr="006F6A24" w:rsidRDefault="006F6A24" w:rsidP="006F6A24">
      <w:pPr>
        <w:numPr>
          <w:ilvl w:val="0"/>
          <w:numId w:val="28"/>
        </w:numPr>
        <w:tabs>
          <w:tab w:val="left" w:pos="709"/>
        </w:tabs>
        <w:ind w:left="1134" w:hanging="567"/>
        <w:jc w:val="both"/>
        <w:rPr>
          <w:lang w:eastAsia="ru-RU"/>
        </w:rPr>
      </w:pPr>
      <w:r w:rsidRPr="006F6A24">
        <w:rPr>
          <w:lang w:eastAsia="ru-RU"/>
        </w:rPr>
        <w:t xml:space="preserve">по разделу «Общегосударственные вопросы» </w:t>
      </w:r>
    </w:p>
    <w:p w:rsidR="006F6A24" w:rsidRPr="006F6A24" w:rsidRDefault="006F6A24" w:rsidP="006F6A24">
      <w:pPr>
        <w:jc w:val="both"/>
        <w:rPr>
          <w:lang w:eastAsia="ru-RU"/>
        </w:rPr>
      </w:pPr>
      <w:r w:rsidRPr="006F6A24">
        <w:rPr>
          <w:lang w:eastAsia="ru-RU"/>
        </w:rPr>
        <w:t xml:space="preserve">Проектом решения на 2024 год по данному разделу предлагается ранее выделенные средства </w:t>
      </w:r>
      <w:r w:rsidRPr="006F6A24">
        <w:rPr>
          <w:bCs/>
          <w:lang w:eastAsia="ru-RU"/>
        </w:rPr>
        <w:t>уменьшить на 19 823,9 тыс. рублей. В</w:t>
      </w:r>
      <w:r w:rsidRPr="006F6A24">
        <w:rPr>
          <w:lang w:eastAsia="ru-RU"/>
        </w:rPr>
        <w:t xml:space="preserve"> результате расходы по разделу «Общегосударственные вопросы» на 2024 год составят 385 465,4 тыс. рублей.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Также представленным Проектом решения предлагается уменьшить плановые назначения на 2025 год, всего на сумму 3 785,5 тыс. рублей. В результате расходы по разделу «Общегосударственные вопросы» предлагается утвердить на 2025 год в сумме 288 015,4 тыс. рублей, на 2026 год плановые назначения остаются без изменений в сумме 300 857,1 тыс. рублей.</w:t>
      </w:r>
    </w:p>
    <w:p w:rsidR="006F6A24" w:rsidRPr="006F6A24" w:rsidRDefault="006F6A24" w:rsidP="006F6A24">
      <w:pPr>
        <w:numPr>
          <w:ilvl w:val="0"/>
          <w:numId w:val="28"/>
        </w:numPr>
        <w:tabs>
          <w:tab w:val="left" w:pos="709"/>
          <w:tab w:val="left" w:pos="993"/>
        </w:tabs>
        <w:ind w:hanging="644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по разделу «Национальная оборона» </w:t>
      </w:r>
    </w:p>
    <w:p w:rsidR="006F6A24" w:rsidRPr="006F6A24" w:rsidRDefault="006F6A24" w:rsidP="006F6A24">
      <w:pPr>
        <w:jc w:val="both"/>
        <w:rPr>
          <w:bCs/>
          <w:lang w:eastAsia="ru-RU"/>
        </w:rPr>
      </w:pPr>
      <w:r w:rsidRPr="006F6A24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F6A24">
        <w:rPr>
          <w:bCs/>
          <w:szCs w:val="24"/>
          <w:lang w:eastAsia="ru-RU"/>
        </w:rPr>
        <w:t xml:space="preserve">увеличить на сумму </w:t>
      </w:r>
      <w:r w:rsidRPr="006F6A24">
        <w:rPr>
          <w:bCs/>
          <w:lang w:eastAsia="ru-RU"/>
        </w:rPr>
        <w:t xml:space="preserve">2,3 </w:t>
      </w:r>
      <w:r w:rsidRPr="006F6A24">
        <w:rPr>
          <w:bCs/>
          <w:szCs w:val="24"/>
          <w:lang w:eastAsia="ru-RU"/>
        </w:rPr>
        <w:t xml:space="preserve">тыс. рублей по подразделу 0203 «Мобилизационная и вневойсковая подготовка». </w:t>
      </w:r>
      <w:r w:rsidRPr="006F6A24">
        <w:rPr>
          <w:bCs/>
          <w:lang w:eastAsia="ru-RU"/>
        </w:rPr>
        <w:t xml:space="preserve">В результате расходы по данному разделу на 2024 год составляют 1 784,1 тыс. рублей. </w:t>
      </w:r>
    </w:p>
    <w:p w:rsidR="006F6A24" w:rsidRPr="006F6A24" w:rsidRDefault="006F6A24" w:rsidP="006F6A24">
      <w:pPr>
        <w:numPr>
          <w:ilvl w:val="0"/>
          <w:numId w:val="28"/>
        </w:num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по разделу «Национальная безопасность и правоохранительная деятельность»</w:t>
      </w:r>
    </w:p>
    <w:p w:rsidR="006F6A24" w:rsidRPr="006F6A24" w:rsidRDefault="006F6A24" w:rsidP="006F6A24">
      <w:pPr>
        <w:jc w:val="both"/>
        <w:rPr>
          <w:bCs/>
          <w:szCs w:val="24"/>
          <w:lang w:eastAsia="ru-RU"/>
        </w:rPr>
      </w:pPr>
      <w:r w:rsidRPr="006F6A24">
        <w:rPr>
          <w:szCs w:val="24"/>
          <w:lang w:eastAsia="ru-RU"/>
        </w:rPr>
        <w:t xml:space="preserve">Проектом решения плановые назначения на 2024 год предлагается </w:t>
      </w:r>
      <w:r w:rsidRPr="006F6A24">
        <w:rPr>
          <w:bCs/>
          <w:szCs w:val="24"/>
          <w:lang w:eastAsia="ru-RU"/>
        </w:rPr>
        <w:t>увеличить на сумму 355,9 тыс. рублей. В результате предлагаемых изменений расходы по данному разделу составят 24 579,2 тыс. рублей.</w:t>
      </w:r>
    </w:p>
    <w:p w:rsidR="006F6A24" w:rsidRPr="006F6A24" w:rsidRDefault="006F6A24" w:rsidP="006F6A24">
      <w:pPr>
        <w:pStyle w:val="ab"/>
        <w:numPr>
          <w:ilvl w:val="0"/>
          <w:numId w:val="28"/>
        </w:numPr>
        <w:tabs>
          <w:tab w:val="left" w:pos="709"/>
        </w:tabs>
        <w:suppressAutoHyphens w:val="0"/>
        <w:ind w:hanging="644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по разделу «Национальная экономика»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Проектом решения плановые назначения на 2024 год предлагается </w:t>
      </w:r>
      <w:r w:rsidRPr="006F6A24">
        <w:rPr>
          <w:bCs/>
          <w:szCs w:val="24"/>
          <w:lang w:eastAsia="ru-RU"/>
        </w:rPr>
        <w:t>увеличить на сумму 782,8 тыс. рублей. В результате расходы по разделу «Национальная экономика» на</w:t>
      </w:r>
      <w:r w:rsidRPr="006F6A24">
        <w:rPr>
          <w:szCs w:val="24"/>
          <w:lang w:eastAsia="ru-RU"/>
        </w:rPr>
        <w:t xml:space="preserve"> 2024 год составят 237 024,8 тыс. рублей. </w:t>
      </w:r>
    </w:p>
    <w:p w:rsidR="006F6A24" w:rsidRPr="006F6A24" w:rsidRDefault="006F6A24" w:rsidP="006F6A24">
      <w:pPr>
        <w:numPr>
          <w:ilvl w:val="0"/>
          <w:numId w:val="28"/>
        </w:numPr>
        <w:tabs>
          <w:tab w:val="left" w:pos="993"/>
        </w:tabs>
        <w:contextualSpacing/>
        <w:jc w:val="both"/>
        <w:rPr>
          <w:lang w:eastAsia="ru-RU"/>
        </w:rPr>
      </w:pPr>
      <w:r w:rsidRPr="006F6A24">
        <w:rPr>
          <w:lang w:eastAsia="ru-RU"/>
        </w:rPr>
        <w:t>по разделу «Жилищно-коммунальное хозяйство»</w:t>
      </w:r>
    </w:p>
    <w:p w:rsidR="006F6A24" w:rsidRPr="006F6A24" w:rsidRDefault="006F6A24" w:rsidP="006F6A24">
      <w:pPr>
        <w:jc w:val="both"/>
        <w:rPr>
          <w:bCs/>
          <w:lang w:eastAsia="ru-RU"/>
        </w:rPr>
      </w:pPr>
      <w:r w:rsidRPr="006F6A24">
        <w:rPr>
          <w:lang w:eastAsia="ru-RU"/>
        </w:rPr>
        <w:t xml:space="preserve">Проектом решения предлагается плановые назначения на 2024 год </w:t>
      </w:r>
      <w:r w:rsidRPr="006F6A24">
        <w:rPr>
          <w:bCs/>
          <w:lang w:eastAsia="ru-RU"/>
        </w:rPr>
        <w:t xml:space="preserve">увеличить всего на сумму 46 574,8 тыс. рублей. В результате предлагаемых изменений расходы по разделу «Жилищно-коммунальное хозяйство» на 2024 год составят 1 376 451,2 тыс. рублей. 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Также представленным проектом решения предлагается увеличить плановые назначения на 2025 год и на 2026 год. На 2025 год всего увеличить расходы на сумму 17 926,0 тыс. рублей. На 2026 год всего увеличить расходы на сумму 17 627,7 тыс. рублей. 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В результате расходы по разделу «Жилищно-коммунальное хозяйство» предлагается утвердить на 2025 год в сумме 184 553,9 тыс. рублей, на 2026 год в сумме 183 780,9 тыс. рублей.</w:t>
      </w:r>
    </w:p>
    <w:p w:rsidR="006F6A24" w:rsidRPr="006F6A24" w:rsidRDefault="006F6A24" w:rsidP="006F6A24">
      <w:pPr>
        <w:pStyle w:val="ab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6F6A24">
        <w:rPr>
          <w:lang w:eastAsia="ru-RU"/>
        </w:rPr>
        <w:t>по разделу «Образование»</w:t>
      </w:r>
    </w:p>
    <w:p w:rsidR="006F6A24" w:rsidRPr="006F6A24" w:rsidRDefault="006F6A24" w:rsidP="006F6A24">
      <w:pPr>
        <w:jc w:val="both"/>
        <w:rPr>
          <w:bCs/>
          <w:szCs w:val="24"/>
          <w:lang w:eastAsia="ru-RU"/>
        </w:rPr>
      </w:pPr>
      <w:r w:rsidRPr="006F6A24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F6A24">
        <w:rPr>
          <w:bCs/>
          <w:szCs w:val="24"/>
          <w:lang w:eastAsia="ru-RU"/>
        </w:rPr>
        <w:t xml:space="preserve">увеличить всего на сумму 33 370,7 тыс. рублей. В результате расходы по разделу </w:t>
      </w:r>
      <w:r w:rsidRPr="006F6A24">
        <w:rPr>
          <w:bCs/>
          <w:lang w:eastAsia="ru-RU"/>
        </w:rPr>
        <w:t xml:space="preserve">«Образование» </w:t>
      </w:r>
      <w:r w:rsidRPr="006F6A24">
        <w:rPr>
          <w:bCs/>
          <w:szCs w:val="24"/>
          <w:lang w:eastAsia="ru-RU"/>
        </w:rPr>
        <w:t xml:space="preserve">на 2024 год составят 1 845 330,3 тыс. рублей. </w:t>
      </w:r>
    </w:p>
    <w:p w:rsidR="006F6A24" w:rsidRPr="006F6A24" w:rsidRDefault="006F6A24" w:rsidP="006F6A24">
      <w:pPr>
        <w:jc w:val="both"/>
        <w:rPr>
          <w:lang w:eastAsia="ru-RU"/>
        </w:rPr>
      </w:pPr>
      <w:r w:rsidRPr="006F6A24">
        <w:rPr>
          <w:szCs w:val="24"/>
          <w:lang w:eastAsia="ru-RU"/>
        </w:rPr>
        <w:t xml:space="preserve">Также представленным Проектом решения предлагается уменьшить плановые назначения на 2025 год и на 2026 год, на сумму 13 126,4 тыс. рублей на каждый год планового периода </w:t>
      </w:r>
      <w:r w:rsidRPr="006F6A24">
        <w:rPr>
          <w:lang w:eastAsia="ru-RU"/>
        </w:rPr>
        <w:t xml:space="preserve">по подразделу </w:t>
      </w:r>
      <w:r w:rsidRPr="006F6A24">
        <w:rPr>
          <w:szCs w:val="24"/>
          <w:lang w:eastAsia="ru-RU"/>
        </w:rPr>
        <w:t>0703 «Дополнительное образование детей».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В результате расходы по разделу «Образование» предлагается утвердить на 2025 год в сумме 1 649 523,6 тыс. рублей, на 2026 год утвердить в сумме 1 649 896,4 тыс. рублей.</w:t>
      </w:r>
    </w:p>
    <w:p w:rsidR="006F6A24" w:rsidRPr="006F6A24" w:rsidRDefault="006F6A24" w:rsidP="006F6A24">
      <w:pPr>
        <w:numPr>
          <w:ilvl w:val="0"/>
          <w:numId w:val="28"/>
        </w:numPr>
        <w:tabs>
          <w:tab w:val="left" w:pos="993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по разделу «Культура и кинематография» </w:t>
      </w:r>
    </w:p>
    <w:p w:rsidR="006F6A24" w:rsidRPr="006F6A24" w:rsidRDefault="006F6A24" w:rsidP="006F6A24">
      <w:pPr>
        <w:jc w:val="both"/>
        <w:rPr>
          <w:lang w:eastAsia="ru-RU"/>
        </w:rPr>
      </w:pPr>
      <w:r w:rsidRPr="006F6A24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F6A24">
        <w:rPr>
          <w:bCs/>
          <w:szCs w:val="24"/>
          <w:lang w:eastAsia="ru-RU"/>
        </w:rPr>
        <w:t xml:space="preserve">увеличить на сумму </w:t>
      </w:r>
      <w:r w:rsidRPr="006F6A24">
        <w:rPr>
          <w:bCs/>
          <w:lang w:eastAsia="ru-RU"/>
        </w:rPr>
        <w:t xml:space="preserve">11 610,0 </w:t>
      </w:r>
      <w:r w:rsidRPr="006F6A24">
        <w:rPr>
          <w:bCs/>
          <w:szCs w:val="24"/>
          <w:lang w:eastAsia="ru-RU"/>
        </w:rPr>
        <w:t xml:space="preserve">тыс. рублей по подразделу 0801 «Культура». </w:t>
      </w:r>
      <w:r w:rsidRPr="006F6A24">
        <w:rPr>
          <w:bCs/>
          <w:lang w:eastAsia="ru-RU"/>
        </w:rPr>
        <w:t>В результате расходы по</w:t>
      </w:r>
      <w:r w:rsidRPr="006F6A24">
        <w:rPr>
          <w:lang w:eastAsia="ru-RU"/>
        </w:rPr>
        <w:t xml:space="preserve"> данному разделу на 2024 год составляют 295 949,5 тыс. рублей. </w:t>
      </w:r>
    </w:p>
    <w:p w:rsidR="006F6A24" w:rsidRPr="006F6A24" w:rsidRDefault="006F6A24" w:rsidP="006F6A24">
      <w:pPr>
        <w:numPr>
          <w:ilvl w:val="0"/>
          <w:numId w:val="28"/>
        </w:numPr>
        <w:tabs>
          <w:tab w:val="left" w:pos="993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по разделу «Социальная политика» 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lastRenderedPageBreak/>
        <w:t xml:space="preserve">Проектом решения предлагается плановые назначения на 2024 год </w:t>
      </w:r>
      <w:r w:rsidRPr="006F6A24">
        <w:rPr>
          <w:iCs/>
          <w:szCs w:val="24"/>
          <w:lang w:eastAsia="ru-RU"/>
        </w:rPr>
        <w:t>увеличить</w:t>
      </w:r>
      <w:r w:rsidRPr="006F6A24">
        <w:rPr>
          <w:szCs w:val="24"/>
          <w:lang w:eastAsia="ru-RU"/>
        </w:rPr>
        <w:t xml:space="preserve"> на сумму 4 540,2 тыс. рублей. В результате расходы по данному разделу на 2024 год составят 99 989,7 тыс. рублей. </w:t>
      </w:r>
    </w:p>
    <w:p w:rsidR="006F6A24" w:rsidRPr="006F6A24" w:rsidRDefault="006F6A24" w:rsidP="006F6A24">
      <w:pPr>
        <w:numPr>
          <w:ilvl w:val="0"/>
          <w:numId w:val="28"/>
        </w:numPr>
        <w:ind w:left="1134" w:hanging="283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по разделу «Физическая культура и спорт» </w:t>
      </w:r>
    </w:p>
    <w:p w:rsidR="006F6A24" w:rsidRPr="006F6A24" w:rsidRDefault="006F6A24" w:rsidP="006F6A24">
      <w:pPr>
        <w:jc w:val="both"/>
        <w:rPr>
          <w:bCs/>
          <w:szCs w:val="24"/>
          <w:lang w:eastAsia="ru-RU"/>
        </w:rPr>
      </w:pPr>
      <w:r w:rsidRPr="006F6A24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F6A24">
        <w:rPr>
          <w:bCs/>
          <w:szCs w:val="24"/>
          <w:lang w:eastAsia="ru-RU"/>
        </w:rPr>
        <w:t xml:space="preserve">увеличить на сумму 9 385,8 тыс. рублей. В результате расходы по разделу «Физическая культура и спорт» на 2024 год составляют 181 610,1 тыс. рублей. 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Также представленным проектом решения предлагается уменьшить плановые назначения на 2025 год и на 2026 год. На 2025 год всего уменьшить расходы на сумму 4 484,8 тыс. рублей, на 2026 год всего уменьшить расходы на сумму 4 501,3 тыс. рублей. В результате расходы по разделу «Физическая культура и спорт» предлагается утвердить на 2025 год в сумме 68 144,6 тыс. рублей, на 2026 год в сумме 68 128,1 тыс. рублей.</w:t>
      </w:r>
    </w:p>
    <w:p w:rsidR="006F6A24" w:rsidRPr="006F6A24" w:rsidRDefault="006F6A24" w:rsidP="006F6A24">
      <w:pPr>
        <w:pStyle w:val="ab"/>
        <w:numPr>
          <w:ilvl w:val="0"/>
          <w:numId w:val="29"/>
        </w:numPr>
        <w:tabs>
          <w:tab w:val="left" w:pos="927"/>
          <w:tab w:val="left" w:pos="993"/>
        </w:tabs>
        <w:suppressAutoHyphens w:val="0"/>
        <w:jc w:val="both"/>
        <w:rPr>
          <w:bCs/>
          <w:szCs w:val="24"/>
          <w:lang w:eastAsia="ru-RU"/>
        </w:rPr>
      </w:pPr>
      <w:r w:rsidRPr="006F6A24">
        <w:rPr>
          <w:bCs/>
          <w:szCs w:val="24"/>
          <w:lang w:eastAsia="ru-RU"/>
        </w:rPr>
        <w:t xml:space="preserve">по разделу «Обслуживание государственного (муниципального) долга» </w:t>
      </w:r>
    </w:p>
    <w:p w:rsidR="006F6A24" w:rsidRPr="006F6A24" w:rsidRDefault="006F6A24" w:rsidP="006F6A24">
      <w:pPr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6F6A24">
        <w:rPr>
          <w:bCs/>
          <w:szCs w:val="24"/>
          <w:lang w:eastAsia="ru-RU"/>
        </w:rPr>
        <w:t>уменьшить на сумму 3 470,7 тыс. рублей по подразделу «Обслуживание государственного</w:t>
      </w:r>
      <w:r w:rsidRPr="006F6A24">
        <w:rPr>
          <w:szCs w:val="24"/>
          <w:lang w:eastAsia="ru-RU"/>
        </w:rPr>
        <w:t xml:space="preserve"> (муниципального) долга». В результате расходы по разделу «Обслуживание государственного (муниципального) долга» на 2024 год составляют 2 496,7 тыс. рублей. </w:t>
      </w:r>
    </w:p>
    <w:p w:rsidR="006F6A24" w:rsidRPr="006F6A24" w:rsidRDefault="006F6A24" w:rsidP="006F6A24">
      <w:pPr>
        <w:pStyle w:val="aff1"/>
        <w:jc w:val="both"/>
        <w:rPr>
          <w:szCs w:val="24"/>
          <w:lang w:eastAsia="ru-RU"/>
        </w:rPr>
      </w:pPr>
      <w:r w:rsidRPr="006F6A24">
        <w:rPr>
          <w:lang w:eastAsia="ru-RU"/>
        </w:rPr>
        <w:t xml:space="preserve">На 2025 год проектом решения предлагается увеличить расходы на сумму 3 470,7 тыс. рублей по подразделу «Обслуживание государственного (муниципального) долга». </w:t>
      </w:r>
      <w:r w:rsidRPr="006F6A24">
        <w:rPr>
          <w:szCs w:val="24"/>
          <w:lang w:eastAsia="ru-RU"/>
        </w:rPr>
        <w:t>В результате расходы по разделу «Обслуживание государственного (муниципального) долга» на 2025 год составляют 30 823,0 тыс. рублей, на 2026 год плановые назначения не изменяются и составляют 25 700,3 тыс. рублей.</w:t>
      </w:r>
    </w:p>
    <w:p w:rsidR="006F6A24" w:rsidRPr="006F6A24" w:rsidRDefault="006F6A24" w:rsidP="006F6A24">
      <w:pPr>
        <w:tabs>
          <w:tab w:val="left" w:pos="567"/>
          <w:tab w:val="left" w:pos="851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5. Изменения по ведомственной структуре расходов бюджета в части объемов финансирования и перераспределения бюджетных ассигнований коснулись 6 ведомств, осуществляющих исполнение расходных обязательств бюджета Балахнинского муниципального округа.</w:t>
      </w:r>
    </w:p>
    <w:p w:rsidR="0043070E" w:rsidRDefault="006F6A24" w:rsidP="0043070E">
      <w:pPr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6. </w:t>
      </w:r>
      <w:r w:rsidR="0043070E" w:rsidRPr="0043070E">
        <w:rPr>
          <w:szCs w:val="24"/>
          <w:lang w:eastAsia="ru-RU"/>
        </w:rPr>
        <w:t xml:space="preserve">На основании ч. 2 ст. 179 Бюджетного кодекса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администрацией муниципального образования. </w:t>
      </w:r>
    </w:p>
    <w:p w:rsidR="006F6A24" w:rsidRPr="006F6A24" w:rsidRDefault="006F6A24" w:rsidP="0043070E">
      <w:pPr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Согласно Проекту решения, изменения объемов финансирования мероприятий коснулись 12 из 22 муниципальных программ: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- "Развитие образования Балахнинского муниципального округа Нижегородской области"; 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"Развитие культуры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 "Развитие физической культуры и спорта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bCs/>
          <w:iCs/>
          <w:szCs w:val="24"/>
          <w:lang w:eastAsia="ru-RU"/>
        </w:rPr>
      </w:pPr>
      <w:bookmarkStart w:id="0" w:name="_Hlk177655075"/>
      <w:r w:rsidRPr="006F6A24">
        <w:rPr>
          <w:bCs/>
          <w:iCs/>
          <w:szCs w:val="24"/>
          <w:lang w:eastAsia="ru-RU"/>
        </w:rPr>
        <w:t>- "Управление муниципальным имуществом и земельными ресурсами Балахнинского муниципального округа Нижегородской области";</w:t>
      </w:r>
    </w:p>
    <w:bookmarkEnd w:id="0"/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 "Повышение эффективности бюджетных расходов в Балахнинском муниципальном округе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 "Развитие агропромышленного комплекса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bCs/>
          <w:szCs w:val="24"/>
          <w:lang w:eastAsia="ru-RU"/>
        </w:rPr>
      </w:pPr>
      <w:r w:rsidRPr="006F6A24">
        <w:rPr>
          <w:szCs w:val="24"/>
          <w:lang w:eastAsia="ru-RU"/>
        </w:rPr>
        <w:t>- "</w:t>
      </w:r>
      <w:r w:rsidRPr="006F6A24">
        <w:rPr>
          <w:bCs/>
          <w:szCs w:val="24"/>
          <w:lang w:eastAsia="ru-RU"/>
        </w:rPr>
        <w:t>Государственная поддержка граждан по обеспечению жильем на территории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 "Благоустройство и озеленение территории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 "Обеспечение безопасности дорожного движения на территории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  <w:tab w:val="left" w:pos="709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lastRenderedPageBreak/>
        <w:t>- "Формирование комфортной городской среды на территории Балахнинского муниципального округа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 "Развитие услуг в сфере похоронного дела в Балахнинском муниципальном округе Нижегородской области";</w:t>
      </w:r>
    </w:p>
    <w:p w:rsidR="006F6A24" w:rsidRPr="006F6A24" w:rsidRDefault="006F6A24" w:rsidP="006F6A24">
      <w:pPr>
        <w:tabs>
          <w:tab w:val="left" w:pos="142"/>
        </w:tabs>
        <w:jc w:val="both"/>
        <w:rPr>
          <w:bCs/>
          <w:iCs/>
          <w:szCs w:val="24"/>
          <w:lang w:eastAsia="ru-RU"/>
        </w:rPr>
      </w:pPr>
      <w:r w:rsidRPr="006F6A24">
        <w:rPr>
          <w:bCs/>
          <w:iCs/>
          <w:szCs w:val="24"/>
          <w:lang w:eastAsia="ru-RU"/>
        </w:rPr>
        <w:t>- "Развитие сферы жилищно-коммунального хозяйства Балахнинского муниципального округа Нижегородской области на период 2023-2028 годы".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7. Непрограммные расходы на 2024 год согласно представленному Проекту решения предлагается уменьшить на сумму 27 572,2 тыс. рублей утвердить в сумме 452 023,9 тыс. рублей, из которых: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01 00000 «Содержание аппарата управления» предлагается увеличить плановые назначения на сумму 7 692,9 тыс. рублей и утвердить в сумме 200 744,3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02 00000 «Муниципальные учреждения» предлагается уменьшить плановые назначения на сумму 22 740,2 тыс. рублей и утвердить в сумме 109 148,5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03 00000 «Мероприятия, проводимые в рамках непрограммных расходов» на сумму 12 524,9 тыс. рублей предлагается уменьшить плановые назначения с 154 656,0 тыс. рублей до 142 131,1 тыс. рублей.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Доля непрограммных расходов с учетом внесённых изменений составит 10,0 % от общих расходов проекта решения (4 536 722,2 тыс. рублей).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Непрограммные расходы на 2025 год предлагается утвердить в сумме 349 026,0 тыс. рублей, с увеличением на сумму 16 894,4 тыс. рублей, из которых: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01 00000 «Содержание аппарата управления» плановые назначения предлагается уменьшить на сумму 733,3 тыс. рублей и утвердить в сумме 168 166,0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02 00000 «Муниципальные учреждения» предлагается утвердить в сумме 118 729,7 тыс. рублей, с увеличением на 17 627,7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03 00000 «Мероприятия, проводимые в рамках непрограммных расходов» изменений не предлагается, плановые назначения остаются в сумме 62 130,3 тыс. рублей.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Непрограммные расходы на 2026 год предлагается утвердить в сумме 362 806,1 тыс. рублей, с увеличением на сумму 17 627,7 тыс. рублей, из которых: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01 00000 «Содержание аппарата управления» изменений не предлагается, плановые назначения остаются в сумме 175 985,8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02 00000 «Муниципальные учреждения» предлагается увеличить плановые назначения на сумму 17 627,7 тыс. рублей и утвердить в сумме 118 905,3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по целевой статье расходов 77 7 03 00000 «Мероприятия, проводимые в рамках непрограммных расходов» изменений не предлагается, плановые назначения остаются в сумме 67 915,0 тыс. рублей.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 xml:space="preserve">8. С учетом предлагаемых изменений дефицит на 2024 год не изменяется и составляет в сумме 117 972,9 тыс. рублей. 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В качестве источников финансирования дефицита бюджета на 2024 год предлагается: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на 2024 год – 33 000,0 тыс. рублей;</w:t>
      </w:r>
    </w:p>
    <w:p w:rsidR="006F6A24" w:rsidRPr="006F6A24" w:rsidRDefault="006F6A24" w:rsidP="006F6A24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t>- изменение остатков средств на счетах по учету средств бюджета на 2024 год – 84</w:t>
      </w:r>
      <w:r w:rsidRPr="006F6A24">
        <w:rPr>
          <w:szCs w:val="24"/>
          <w:lang w:val="en-US" w:eastAsia="ru-RU"/>
        </w:rPr>
        <w:t> </w:t>
      </w:r>
      <w:r w:rsidRPr="006F6A24">
        <w:rPr>
          <w:szCs w:val="24"/>
          <w:lang w:eastAsia="ru-RU"/>
        </w:rPr>
        <w:t>972,9 тыс. рублей.</w:t>
      </w:r>
    </w:p>
    <w:p w:rsidR="006F6A24" w:rsidRPr="006F6A24" w:rsidRDefault="006F6A24" w:rsidP="006F6A24">
      <w:pPr>
        <w:tabs>
          <w:tab w:val="left" w:pos="142"/>
        </w:tabs>
        <w:ind w:left="142" w:firstLine="425"/>
        <w:jc w:val="both"/>
        <w:rPr>
          <w:szCs w:val="24"/>
          <w:lang w:eastAsia="ru-RU"/>
        </w:rPr>
      </w:pPr>
      <w:r w:rsidRPr="006F6A24">
        <w:rPr>
          <w:szCs w:val="24"/>
          <w:lang w:eastAsia="ru-RU"/>
        </w:rPr>
        <w:lastRenderedPageBreak/>
        <w:t xml:space="preserve">Проект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может быть принят к рассмотрению. </w:t>
      </w:r>
    </w:p>
    <w:p w:rsidR="006F6A24" w:rsidRPr="006F6A24" w:rsidRDefault="006F6A24" w:rsidP="006F6A24">
      <w:pPr>
        <w:tabs>
          <w:tab w:val="left" w:pos="142"/>
        </w:tabs>
        <w:ind w:left="142" w:firstLine="425"/>
        <w:jc w:val="both"/>
        <w:rPr>
          <w:bCs/>
          <w:color w:val="FF0000"/>
          <w:szCs w:val="24"/>
        </w:rPr>
      </w:pPr>
    </w:p>
    <w:p w:rsidR="006F6A24" w:rsidRPr="006F6A24" w:rsidRDefault="006F6A24" w:rsidP="006F6A24">
      <w:pPr>
        <w:tabs>
          <w:tab w:val="left" w:pos="142"/>
        </w:tabs>
        <w:ind w:left="142" w:firstLine="425"/>
        <w:jc w:val="both"/>
        <w:rPr>
          <w:bCs/>
          <w:color w:val="FF0000"/>
          <w:szCs w:val="24"/>
        </w:rPr>
      </w:pPr>
    </w:p>
    <w:p w:rsidR="002B7EF4" w:rsidRPr="006F6A24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6F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749F7"/>
    <w:multiLevelType w:val="hybridMultilevel"/>
    <w:tmpl w:val="05FA9A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400A7215"/>
    <w:multiLevelType w:val="hybridMultilevel"/>
    <w:tmpl w:val="4BD48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9" w15:restartNumberingAfterBreak="0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420057">
    <w:abstractNumId w:val="10"/>
  </w:num>
  <w:num w:numId="2" w16cid:durableId="1895892051">
    <w:abstractNumId w:val="18"/>
  </w:num>
  <w:num w:numId="3" w16cid:durableId="2009097633">
    <w:abstractNumId w:val="14"/>
  </w:num>
  <w:num w:numId="4" w16cid:durableId="478964403">
    <w:abstractNumId w:val="6"/>
  </w:num>
  <w:num w:numId="5" w16cid:durableId="1406490873">
    <w:abstractNumId w:val="2"/>
  </w:num>
  <w:num w:numId="6" w16cid:durableId="849874874">
    <w:abstractNumId w:val="5"/>
  </w:num>
  <w:num w:numId="7" w16cid:durableId="247008229">
    <w:abstractNumId w:val="7"/>
  </w:num>
  <w:num w:numId="8" w16cid:durableId="1790389655">
    <w:abstractNumId w:val="25"/>
  </w:num>
  <w:num w:numId="9" w16cid:durableId="823620120">
    <w:abstractNumId w:val="16"/>
  </w:num>
  <w:num w:numId="10" w16cid:durableId="1137990262">
    <w:abstractNumId w:val="24"/>
  </w:num>
  <w:num w:numId="11" w16cid:durableId="1414159895">
    <w:abstractNumId w:val="8"/>
  </w:num>
  <w:num w:numId="12" w16cid:durableId="914162952">
    <w:abstractNumId w:val="0"/>
  </w:num>
  <w:num w:numId="13" w16cid:durableId="974337135">
    <w:abstractNumId w:val="22"/>
  </w:num>
  <w:num w:numId="14" w16cid:durableId="644041903">
    <w:abstractNumId w:val="20"/>
  </w:num>
  <w:num w:numId="15" w16cid:durableId="1970436806">
    <w:abstractNumId w:val="27"/>
  </w:num>
  <w:num w:numId="16" w16cid:durableId="1003627384">
    <w:abstractNumId w:val="3"/>
  </w:num>
  <w:num w:numId="17" w16cid:durableId="297222023">
    <w:abstractNumId w:val="13"/>
  </w:num>
  <w:num w:numId="18" w16cid:durableId="1573199119">
    <w:abstractNumId w:val="26"/>
  </w:num>
  <w:num w:numId="19" w16cid:durableId="601647965">
    <w:abstractNumId w:val="11"/>
  </w:num>
  <w:num w:numId="20" w16cid:durableId="100408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1672747">
    <w:abstractNumId w:val="19"/>
  </w:num>
  <w:num w:numId="22" w16cid:durableId="67270690">
    <w:abstractNumId w:val="21"/>
  </w:num>
  <w:num w:numId="23" w16cid:durableId="1678582819">
    <w:abstractNumId w:val="23"/>
  </w:num>
  <w:num w:numId="24" w16cid:durableId="1500539450">
    <w:abstractNumId w:val="15"/>
  </w:num>
  <w:num w:numId="25" w16cid:durableId="1913157309">
    <w:abstractNumId w:val="1"/>
  </w:num>
  <w:num w:numId="26" w16cid:durableId="104857885">
    <w:abstractNumId w:val="4"/>
  </w:num>
  <w:num w:numId="27" w16cid:durableId="990325645">
    <w:abstractNumId w:val="17"/>
  </w:num>
  <w:num w:numId="28" w16cid:durableId="2144882094">
    <w:abstractNumId w:val="9"/>
  </w:num>
  <w:num w:numId="29" w16cid:durableId="167899306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070E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6F6A24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85E87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1722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D12B"/>
  <w15:docId w15:val="{AF6C3989-C9CB-4458-AA3F-D160B98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7"/>
    <w:next w:val="aff7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6</cp:revision>
  <dcterms:created xsi:type="dcterms:W3CDTF">2024-12-25T11:16:00Z</dcterms:created>
  <dcterms:modified xsi:type="dcterms:W3CDTF">2025-01-13T10:30:00Z</dcterms:modified>
</cp:coreProperties>
</file>