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096A48" w:rsidRPr="001A7627" w:rsidRDefault="00096A48" w:rsidP="00096A48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A90A2B" w:rsidRPr="00952A42" w:rsidRDefault="00A90A2B" w:rsidP="00A90A2B">
      <w:pPr>
        <w:jc w:val="center"/>
        <w:rPr>
          <w:b/>
          <w:szCs w:val="24"/>
          <w:lang w:eastAsia="ru-RU"/>
        </w:rPr>
      </w:pPr>
      <w:r w:rsidRPr="00952A42">
        <w:rPr>
          <w:b/>
          <w:szCs w:val="24"/>
          <w:lang w:eastAsia="ru-RU"/>
        </w:rPr>
        <w:t xml:space="preserve">«Анализ исполнения и подготовка информации о ходе исполнения бюджета Балахнинского муниципального округа за </w:t>
      </w:r>
      <w:r w:rsidRPr="00952A42">
        <w:rPr>
          <w:b/>
          <w:szCs w:val="24"/>
          <w:lang w:val="en-US" w:eastAsia="ru-RU"/>
        </w:rPr>
        <w:t>I</w:t>
      </w:r>
      <w:r w:rsidRPr="00952A42">
        <w:rPr>
          <w:b/>
          <w:szCs w:val="24"/>
          <w:lang w:eastAsia="ru-RU"/>
        </w:rPr>
        <w:t xml:space="preserve"> полугодие 2024 года»</w:t>
      </w:r>
    </w:p>
    <w:p w:rsidR="00A90A2B" w:rsidRPr="00A90A2B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A90A2B">
        <w:rPr>
          <w:szCs w:val="24"/>
          <w:lang w:eastAsia="ru-RU"/>
        </w:rPr>
        <w:t xml:space="preserve">В соответствии </w:t>
      </w:r>
      <w:r w:rsidR="00A90A2B" w:rsidRPr="00A90A2B">
        <w:rPr>
          <w:szCs w:val="24"/>
          <w:lang w:eastAsia="ru-RU"/>
        </w:rPr>
        <w:t>с п. 1.4</w:t>
      </w:r>
      <w:r w:rsidR="00047C96" w:rsidRPr="00A90A2B">
        <w:rPr>
          <w:szCs w:val="24"/>
          <w:lang w:eastAsia="ru-RU"/>
        </w:rPr>
        <w:t>. плана работы на 202</w:t>
      </w:r>
      <w:r w:rsidR="000F7C51" w:rsidRPr="00A90A2B">
        <w:rPr>
          <w:szCs w:val="24"/>
          <w:lang w:eastAsia="ru-RU"/>
        </w:rPr>
        <w:t>4</w:t>
      </w:r>
      <w:r w:rsidR="00047C96" w:rsidRPr="00A90A2B">
        <w:rPr>
          <w:szCs w:val="24"/>
          <w:lang w:eastAsia="ru-RU"/>
        </w:rPr>
        <w:t xml:space="preserve"> год </w:t>
      </w:r>
      <w:r w:rsidRPr="00A90A2B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A90A2B">
        <w:rPr>
          <w:bCs/>
          <w:szCs w:val="24"/>
          <w:lang w:eastAsia="ru-RU"/>
        </w:rPr>
        <w:t xml:space="preserve">экспертно-аналитическое мероприятие </w:t>
      </w:r>
      <w:r w:rsidR="00A90A2B" w:rsidRPr="00A90A2B">
        <w:rPr>
          <w:bCs/>
          <w:szCs w:val="24"/>
          <w:lang w:eastAsia="ru-RU"/>
        </w:rPr>
        <w:t>«Анализ исполнения и подготовка информации о ходе исполнения бюджета Балахнинского муниципального округа за I полугодие 2024 года».</w:t>
      </w:r>
    </w:p>
    <w:p w:rsidR="00A90A2B" w:rsidRPr="00952A42" w:rsidRDefault="00031FD4" w:rsidP="00A90A2B">
      <w:pPr>
        <w:jc w:val="both"/>
        <w:rPr>
          <w:szCs w:val="24"/>
          <w:lang w:eastAsia="ru-RU"/>
        </w:rPr>
      </w:pPr>
      <w:r w:rsidRPr="00A90A2B">
        <w:rPr>
          <w:b/>
          <w:szCs w:val="24"/>
          <w:lang w:eastAsia="ru-RU"/>
        </w:rPr>
        <w:t>Цель мероприятия:</w:t>
      </w:r>
      <w:r w:rsidR="00A90A2B" w:rsidRPr="00A90A2B">
        <w:rPr>
          <w:szCs w:val="24"/>
          <w:lang w:eastAsia="ru-RU"/>
        </w:rPr>
        <w:t xml:space="preserve"> подготовить </w:t>
      </w:r>
      <w:r w:rsidR="00A90A2B" w:rsidRPr="00952A42">
        <w:rPr>
          <w:szCs w:val="24"/>
          <w:lang w:eastAsia="ru-RU"/>
        </w:rPr>
        <w:t>информацию об исполнении бюджета Балахнинского муниципального округа</w:t>
      </w:r>
      <w:r w:rsidR="00A90A2B" w:rsidRPr="00952A42">
        <w:rPr>
          <w:bCs/>
          <w:szCs w:val="24"/>
          <w:lang w:val="x-none" w:eastAsia="ru-RU"/>
        </w:rPr>
        <w:t xml:space="preserve"> </w:t>
      </w:r>
      <w:r w:rsidR="00A90A2B" w:rsidRPr="00952A42">
        <w:rPr>
          <w:szCs w:val="24"/>
          <w:lang w:eastAsia="ru-RU"/>
        </w:rPr>
        <w:t xml:space="preserve">за </w:t>
      </w:r>
      <w:r w:rsidR="00A90A2B" w:rsidRPr="00952A42">
        <w:rPr>
          <w:szCs w:val="24"/>
          <w:lang w:val="en-US" w:eastAsia="ru-RU"/>
        </w:rPr>
        <w:t>I</w:t>
      </w:r>
      <w:r w:rsidR="00A90A2B" w:rsidRPr="00952A42">
        <w:rPr>
          <w:szCs w:val="24"/>
          <w:lang w:eastAsia="ru-RU"/>
        </w:rPr>
        <w:t xml:space="preserve"> полугодие 2024 года.</w:t>
      </w:r>
      <w:r w:rsidR="00A90A2B">
        <w:rPr>
          <w:szCs w:val="24"/>
          <w:lang w:eastAsia="ru-RU"/>
        </w:rPr>
        <w:t xml:space="preserve"> </w:t>
      </w:r>
      <w:r w:rsidR="00A90A2B" w:rsidRPr="00952A42">
        <w:rPr>
          <w:szCs w:val="24"/>
          <w:lang w:eastAsia="ru-RU"/>
        </w:rPr>
        <w:t xml:space="preserve"> </w:t>
      </w:r>
    </w:p>
    <w:p w:rsidR="00EC3038" w:rsidRPr="00096A48" w:rsidRDefault="00031FD4" w:rsidP="00751D5C">
      <w:pPr>
        <w:pStyle w:val="a3"/>
        <w:jc w:val="both"/>
        <w:rPr>
          <w:b/>
          <w:szCs w:val="24"/>
        </w:rPr>
      </w:pPr>
      <w:r w:rsidRPr="00096A48">
        <w:rPr>
          <w:b/>
          <w:szCs w:val="24"/>
        </w:rPr>
        <w:t xml:space="preserve">В результате проведенного мероприятия установлено: </w:t>
      </w:r>
    </w:p>
    <w:p w:rsidR="00A90A2B" w:rsidRPr="00A90A2B" w:rsidRDefault="00A90A2B" w:rsidP="00A90A2B">
      <w:pPr>
        <w:tabs>
          <w:tab w:val="num" w:pos="900"/>
        </w:tabs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>1. Отчет об исполнении бюджета Балахнинского муниципального округа за I полугодие 2024 года администрацией округа представлен в сроки, установленные статьей 40 Положения о бюджетном процессе в Балахнинском муниципальном округе Нижегородской области, утвержденного решением Совета депутатов Балахнинского муниципального округа Нижегородской области от 22.10.2020 года № 40.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>2.</w:t>
      </w:r>
      <w:r w:rsidRPr="00A90A2B">
        <w:rPr>
          <w:rFonts w:eastAsia="SimSun"/>
          <w:szCs w:val="24"/>
        </w:rPr>
        <w:t xml:space="preserve"> </w:t>
      </w:r>
      <w:r w:rsidRPr="00A90A2B">
        <w:rPr>
          <w:szCs w:val="24"/>
          <w:lang w:eastAsia="ru-RU"/>
        </w:rPr>
        <w:t xml:space="preserve">За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полугодие 2024 года решениями Совета депутатов в бюджет внесены изменения и дополнения пять раз </w:t>
      </w:r>
      <w:r w:rsidRPr="00A90A2B">
        <w:rPr>
          <w:rFonts w:eastAsia="Arial Unicode MS"/>
          <w:szCs w:val="24"/>
          <w:lang w:eastAsia="ru-RU"/>
        </w:rPr>
        <w:t>(в редакции решений Совета депутатов Балахнинского муниципального округа от 27.02.2024 № 552, от 29.03.2024 № 562, от 16.05.2024 № 583, от 18.06.2024 № 595, от 25.06.2024 № 598 (вступило в силу 02.07.2024))</w:t>
      </w:r>
      <w:r w:rsidRPr="00A90A2B">
        <w:rPr>
          <w:szCs w:val="24"/>
          <w:lang w:eastAsia="ru-RU"/>
        </w:rPr>
        <w:t xml:space="preserve">. В результате за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> полугодие 2024 года утверждены: общий объем доходов в сумме 4 101 656,6 тыс. рублей, общий объем расходов в сумме 4 219 648,2 тыс. рублей, размер дефицита бюджета в сумме 117 991,6 тыс. рублей.</w:t>
      </w:r>
    </w:p>
    <w:p w:rsidR="00A90A2B" w:rsidRPr="00A90A2B" w:rsidRDefault="00A758B7" w:rsidP="00A90A2B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3.</w:t>
      </w:r>
      <w:r w:rsidR="00A90A2B" w:rsidRPr="00A90A2B">
        <w:rPr>
          <w:szCs w:val="24"/>
          <w:lang w:eastAsia="ru-RU"/>
        </w:rPr>
        <w:t xml:space="preserve">Плановые назначения по доходам увеличились в результате увеличения планируемых показателей по налоговым и неналоговым доходам в сумме 3 788,6 тыс. рублей, по безвозмездным поступлениям от других бюджетов бюджетной системы РФ на сумму 1 071 364,4 тыс. рублей. 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bCs/>
          <w:szCs w:val="24"/>
          <w:lang w:eastAsia="ru-RU"/>
        </w:rPr>
        <w:t xml:space="preserve">Увеличение плана по доходам повлекло рост плановых назначений расходной части бюджета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2024 года</w:t>
      </w:r>
      <w:r w:rsidRPr="00A90A2B">
        <w:rPr>
          <w:bCs/>
          <w:szCs w:val="24"/>
          <w:lang w:eastAsia="ru-RU"/>
        </w:rPr>
        <w:t xml:space="preserve"> на </w:t>
      </w:r>
      <w:r w:rsidRPr="00A90A2B">
        <w:rPr>
          <w:szCs w:val="24"/>
          <w:lang w:eastAsia="ru-RU"/>
        </w:rPr>
        <w:t>1 125 974,6 тыс. рублей, и соответственно увеличению дефицита на сумму 50 821,6 тыс. рублей.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>4. Фактическое исполнение бюджета округа за I полугодие 2024 года составляет: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по доходам – 1 441 577,6 тыс. рублей или 35,2 % от уточненных годовых бюджетных назначений в сумме 4 100 039,4 тыс. рублей (ф. 0503117); </w:t>
      </w:r>
    </w:p>
    <w:p w:rsidR="00A90A2B" w:rsidRPr="00A90A2B" w:rsidRDefault="00A90A2B" w:rsidP="00A90A2B">
      <w:pPr>
        <w:suppressAutoHyphens/>
        <w:ind w:firstLine="720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по расходам – исполнение выразилось в сумме 1 537 500,7 тыс. рублей или 36,5 % от годовых плановых назначений, утвержденных сводной бюджетной росписью расходов в сумме 4 218 031,0 тыс. рублей. 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Бюджет округа за I полугодие 2024 года исполнен с дефицитом в сумме 95 923,1 тыс. рублей. 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5. За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полугодие 2024 года</w:t>
      </w:r>
      <w:r w:rsidRPr="00A90A2B">
        <w:rPr>
          <w:bCs/>
          <w:szCs w:val="24"/>
          <w:lang w:eastAsia="ru-RU"/>
        </w:rPr>
        <w:t xml:space="preserve"> </w:t>
      </w:r>
      <w:r w:rsidRPr="00A90A2B">
        <w:rPr>
          <w:szCs w:val="24"/>
          <w:lang w:eastAsia="ru-RU"/>
        </w:rPr>
        <w:t xml:space="preserve">на сумму межбюджетных трансфертов, имеющих целевое назначение, плановые назначения в Отчете об исполнении бюджета округа по доходам по состоянию на 01.07.2024 года уменьшены на сумму 1 155,5 тыс. рублей по сравнению с плановыми назначениями по безвозмездным поступлениям, утвержденными решением о бюджете (в редакции решения от 18.06.2024 № 595), на основании полученных уведомлений по расчетам между бюджетами в период с 30 мая по 21 июня 2024 года. </w:t>
      </w:r>
    </w:p>
    <w:p w:rsidR="00A90A2B" w:rsidRPr="00A90A2B" w:rsidRDefault="00A90A2B" w:rsidP="00A90A2B">
      <w:pPr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Исполнение бюджета округа по расходам организуется на основе сводной бюджетной росписи расходов. В сводную бюджетную роспись муниципального образования «Балахнинский муниципальный округ» внесены изменения. Общая сумма бюджетных назначений по расходам муниципального образования «Балахнинский муниципальный округ» на 2024 год по состоянию на 01.07.2024 утверждена в сумме 4 218 031,0 тыс. рублей. Утвержденные бюджетные назначения по расходам, в Отчете об исполнении и сводной бюджетной росписи расходов меньше на сумму 1 155,5 тыс. рублей </w:t>
      </w:r>
      <w:r w:rsidRPr="00A90A2B">
        <w:rPr>
          <w:szCs w:val="24"/>
          <w:lang w:eastAsia="ru-RU"/>
        </w:rPr>
        <w:lastRenderedPageBreak/>
        <w:t>плановых назначений расходов, утвержденных решением о бюджете (в редакции решения от 18.06.2024 № 595).</w:t>
      </w:r>
    </w:p>
    <w:p w:rsidR="00A90A2B" w:rsidRPr="00A90A2B" w:rsidRDefault="00A90A2B" w:rsidP="00A90A2B">
      <w:pPr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6. Налоговые доходы за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полугодие 2024 года поступили в сумме 446 808,0 тыс. рублей или 43,3 % от прогнозируемых поступлений в размере 1 031 827,3 тыс. рублей и составили 31,0 % от всех поступлений в бюджет округа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2024 года. За аналогичный период 2023 года налоговые доходы поступили на 100 929,4 тыс. рублей меньше (345 878,6 тыс. руб.), чем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2024 года.</w:t>
      </w:r>
    </w:p>
    <w:p w:rsidR="00A90A2B" w:rsidRPr="00A90A2B" w:rsidRDefault="00A90A2B" w:rsidP="00A90A2B">
      <w:pPr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Неналоговые доходы поступили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2024 года в бюджет округа в сумме 51 149,2 тыс. рублей или 45,3 % от годовых плановых назначений в размере 112 995,5 тыс. рублей, что на 16 271,9 тыс. рублей меньше, чем за аналогичный период 2023 года (67 421,1 тыс. руб.). Неналоговые доходы составили 3,5 % от всех поступивших доходов округа в 1 полугодии 2024 года.</w:t>
      </w:r>
    </w:p>
    <w:p w:rsidR="00A90A2B" w:rsidRPr="00A90A2B" w:rsidRDefault="00A90A2B" w:rsidP="00A90A2B">
      <w:pPr>
        <w:tabs>
          <w:tab w:val="right" w:pos="9072"/>
        </w:tabs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Безвозмездные поступления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2024 года поступили в сумме 943 620,4 тыс. рублей или 31,9 % от годовых плановых назначений (2 955 216,6 тыс. руб.), что на 197 168,4 тыс. рублей больше, чем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2023 года (746 452,0 тыс. руб.). Доля безвозмездных поступлений составила 65,5 % от всех поступивших доходов округа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 полугодии 2024 года. </w:t>
      </w:r>
    </w:p>
    <w:p w:rsidR="00A90A2B" w:rsidRPr="00A90A2B" w:rsidRDefault="00A90A2B" w:rsidP="00A90A2B">
      <w:pPr>
        <w:suppressAutoHyphens/>
        <w:ind w:firstLine="720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7. Исполнение расходной части бюджета в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полугодии 2024 года выразилось в сумме 1 537 500,7 тыс. рублей или 36,5 % от годовых назначений, утвержденных сводной бюджетной росписью (4 218 031,0 тыс. руб.). </w:t>
      </w:r>
    </w:p>
    <w:p w:rsidR="00A90A2B" w:rsidRPr="00A90A2B" w:rsidRDefault="00A90A2B" w:rsidP="00A90A2B">
      <w:pPr>
        <w:suppressAutoHyphens/>
        <w:ind w:firstLine="720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Исполнение расходной части бюджета за аналогичный период прошлого года составило в сумме 1 267 954,4 тыс. рублей или 42,3 % от годовых назначений, утвержденных сводной бюджетной росписью. </w:t>
      </w:r>
    </w:p>
    <w:p w:rsidR="00A90A2B" w:rsidRPr="00A90A2B" w:rsidRDefault="00A90A2B" w:rsidP="00A90A2B">
      <w:pPr>
        <w:suppressAutoHyphens/>
        <w:ind w:firstLine="720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Исполнение расходной части увеличилось за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полугодие 2024 года на сумму 269 546,3 тыс. рублей, по отношению к </w:t>
      </w:r>
      <w:r w:rsidRPr="00A90A2B">
        <w:rPr>
          <w:szCs w:val="24"/>
          <w:lang w:val="en-US" w:eastAsia="ru-RU"/>
        </w:rPr>
        <w:t>I</w:t>
      </w:r>
      <w:r w:rsidRPr="00A90A2B">
        <w:rPr>
          <w:szCs w:val="24"/>
          <w:lang w:eastAsia="ru-RU"/>
        </w:rPr>
        <w:t xml:space="preserve"> полугодию 2023 года.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 xml:space="preserve">Исполнение программных расходов за </w:t>
      </w:r>
      <w:r w:rsidRPr="00A90A2B">
        <w:rPr>
          <w:bCs/>
          <w:szCs w:val="24"/>
          <w:lang w:val="en-US" w:eastAsia="ru-RU"/>
        </w:rPr>
        <w:t>I</w:t>
      </w:r>
      <w:r w:rsidRPr="00A90A2B">
        <w:rPr>
          <w:bCs/>
          <w:szCs w:val="24"/>
          <w:lang w:eastAsia="ru-RU"/>
        </w:rPr>
        <w:t xml:space="preserve"> полугодие 2024 года выразилось в сумме 1 361 966,6 тыс. рублей или 35,4 % от годовых плановых назначений в сумме 3 844 359,9 тыс. рублей. За </w:t>
      </w:r>
      <w:r w:rsidRPr="00A90A2B">
        <w:rPr>
          <w:bCs/>
          <w:szCs w:val="24"/>
          <w:lang w:val="en-US" w:eastAsia="ru-RU"/>
        </w:rPr>
        <w:t>I</w:t>
      </w:r>
      <w:r w:rsidRPr="00A90A2B">
        <w:rPr>
          <w:bCs/>
          <w:szCs w:val="24"/>
          <w:lang w:eastAsia="ru-RU"/>
        </w:rPr>
        <w:t xml:space="preserve"> полугодие 2023 года исполнение программных расходов составило 1 099 639,7 тыс. рублей или 42,9 %. 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Наибольшее кассовое исполнение сложилось в результате финансового обеспечения реализации мероприятий по следующим муниципальным программам: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«Развитие агропромышленного комплекса Балахнинского муниципального округа Нижегородской области» - 61,2 %;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«Развитие культуры Балахнинского муниципального округа Нижегородской области» – 47,7 %;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«Развитие образования Балахнинского муниципального округа Нижегородской области» - 53,1 %;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«Противодействие коррупции в Балахнинском муниципальном округе Нижегородской области» - 50,0 %;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«Информационная среда Балахнинского муниципального округа Нижегородской области» - 50,1 %.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«Государственная поддержка граждан по обеспечению жильем на территории Балахнинского муниципального округа Нижегородской области» - 52,8 %;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«Обеспечение первичных мер пожарной безопасности на территории Балахнинского муниципального округа Нижегородской области» - 49,1 %.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 xml:space="preserve">По следующим муниципальным программам сложилось низкое кассовое исполнение в </w:t>
      </w:r>
      <w:r w:rsidRPr="00A90A2B">
        <w:rPr>
          <w:bCs/>
          <w:szCs w:val="24"/>
          <w:lang w:val="en-US" w:eastAsia="ru-RU"/>
        </w:rPr>
        <w:t>I</w:t>
      </w:r>
      <w:r w:rsidRPr="00A90A2B">
        <w:rPr>
          <w:bCs/>
          <w:szCs w:val="24"/>
          <w:lang w:eastAsia="ru-RU"/>
        </w:rPr>
        <w:t xml:space="preserve"> полугодии 2024 года: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«Формирование комфортной городской среды на территории Балахнинского муниципального округа Нижегородской области» - 10 %;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- «Развитие сферы жилищно-коммунального хозяйства Балахнинского муниципального округа Нижегородской области на период 2023-2028 годы» - 9,6 %;</w:t>
      </w:r>
    </w:p>
    <w:p w:rsidR="00A90A2B" w:rsidRPr="00A90A2B" w:rsidRDefault="00A90A2B" w:rsidP="00A90A2B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lastRenderedPageBreak/>
        <w:t>- «Благоустройство и озеленение территории Балахнинского муниципального округа Нижегородской области» - 3,2 %;</w:t>
      </w:r>
    </w:p>
    <w:p w:rsidR="00A90A2B" w:rsidRPr="00A90A2B" w:rsidRDefault="00A90A2B" w:rsidP="00A90A2B">
      <w:pPr>
        <w:tabs>
          <w:tab w:val="right" w:pos="9072"/>
        </w:tabs>
        <w:ind w:firstLine="709"/>
        <w:jc w:val="both"/>
        <w:rPr>
          <w:bCs/>
          <w:szCs w:val="24"/>
          <w:lang w:eastAsia="ru-RU"/>
        </w:rPr>
      </w:pPr>
      <w:r w:rsidRPr="00A90A2B">
        <w:rPr>
          <w:bCs/>
          <w:szCs w:val="24"/>
          <w:lang w:eastAsia="ru-RU"/>
        </w:rPr>
        <w:t>По муниципальной программе «Развитие эффективности градостроительной деятельности на территории Балахнинского муниципального округа» кассовое исполнение отсутствует.</w:t>
      </w:r>
    </w:p>
    <w:p w:rsidR="00A90A2B" w:rsidRPr="00A90A2B" w:rsidRDefault="00A758B7" w:rsidP="00A90A2B">
      <w:pPr>
        <w:suppressAutoHyphens/>
        <w:ind w:firstLine="709"/>
        <w:jc w:val="both"/>
        <w:rPr>
          <w:szCs w:val="24"/>
          <w:lang w:eastAsia="ru-RU"/>
        </w:rPr>
      </w:pPr>
      <w:r w:rsidRPr="00A90A2B">
        <w:rPr>
          <w:szCs w:val="24"/>
          <w:lang w:eastAsia="ru-RU"/>
        </w:rPr>
        <w:t xml:space="preserve">Исполнение непрограммных расходов составило 175 534,1 тыс. рублей или 47,0 % от плановых назначений, утвержденных сводной бюджетной росписью (373 680,1 тыс. рублей). </w:t>
      </w:r>
      <w:r w:rsidR="00A90A2B" w:rsidRPr="00A90A2B">
        <w:rPr>
          <w:szCs w:val="24"/>
          <w:lang w:eastAsia="ru-RU"/>
        </w:rPr>
        <w:t xml:space="preserve">Непрограммные расходы составляют 8,9 % от всех запланированных расходов бюджета округа в 2024 году. </w:t>
      </w:r>
    </w:p>
    <w:p w:rsidR="00A758B7" w:rsidRPr="00A90A2B" w:rsidRDefault="00A758B7">
      <w:pPr>
        <w:suppressAutoHyphens/>
        <w:ind w:firstLine="709"/>
        <w:jc w:val="both"/>
        <w:rPr>
          <w:szCs w:val="24"/>
          <w:lang w:eastAsia="ru-RU"/>
        </w:rPr>
      </w:pPr>
    </w:p>
    <w:sectPr w:rsidR="00A758B7" w:rsidRPr="00A9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3" w15:restartNumberingAfterBreak="0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7" w15:restartNumberingAfterBreak="0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8" w15:restartNumberingAfterBreak="0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4" w15:restartNumberingAfterBreak="0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6" w15:restartNumberingAfterBreak="0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8" w15:restartNumberingAfterBreak="0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1" w15:restartNumberingAfterBreak="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4" w15:restartNumberingAfterBreak="0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9" w15:restartNumberingAfterBreak="0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1" w15:restartNumberingAfterBreak="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2" w15:restartNumberingAfterBreak="0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5" w15:restartNumberingAfterBreak="0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4846743">
    <w:abstractNumId w:val="28"/>
  </w:num>
  <w:num w:numId="2" w16cid:durableId="838470886">
    <w:abstractNumId w:val="1"/>
  </w:num>
  <w:num w:numId="3" w16cid:durableId="1794595696">
    <w:abstractNumId w:val="29"/>
  </w:num>
  <w:num w:numId="4" w16cid:durableId="939526019">
    <w:abstractNumId w:val="20"/>
  </w:num>
  <w:num w:numId="5" w16cid:durableId="423307701">
    <w:abstractNumId w:val="40"/>
  </w:num>
  <w:num w:numId="6" w16cid:durableId="259871625">
    <w:abstractNumId w:val="33"/>
  </w:num>
  <w:num w:numId="7" w16cid:durableId="1005092452">
    <w:abstractNumId w:val="9"/>
  </w:num>
  <w:num w:numId="8" w16cid:durableId="119542831">
    <w:abstractNumId w:val="4"/>
  </w:num>
  <w:num w:numId="9" w16cid:durableId="178007677">
    <w:abstractNumId w:val="7"/>
  </w:num>
  <w:num w:numId="10" w16cid:durableId="1997220052">
    <w:abstractNumId w:val="11"/>
  </w:num>
  <w:num w:numId="11" w16cid:durableId="681399041">
    <w:abstractNumId w:val="10"/>
  </w:num>
  <w:num w:numId="12" w16cid:durableId="1708138156">
    <w:abstractNumId w:val="42"/>
  </w:num>
  <w:num w:numId="13" w16cid:durableId="1716999467">
    <w:abstractNumId w:val="45"/>
  </w:num>
  <w:num w:numId="14" w16cid:durableId="1510292023">
    <w:abstractNumId w:val="8"/>
  </w:num>
  <w:num w:numId="15" w16cid:durableId="1573931964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51514204">
    <w:abstractNumId w:val="19"/>
  </w:num>
  <w:num w:numId="17" w16cid:durableId="1080758947">
    <w:abstractNumId w:val="38"/>
  </w:num>
  <w:num w:numId="18" w16cid:durableId="1831561860">
    <w:abstractNumId w:val="46"/>
  </w:num>
  <w:num w:numId="19" w16cid:durableId="1319189894">
    <w:abstractNumId w:val="24"/>
  </w:num>
  <w:num w:numId="20" w16cid:durableId="6305527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6354914">
    <w:abstractNumId w:val="13"/>
  </w:num>
  <w:num w:numId="22" w16cid:durableId="1774744371">
    <w:abstractNumId w:val="37"/>
  </w:num>
  <w:num w:numId="23" w16cid:durableId="1178810219">
    <w:abstractNumId w:val="0"/>
  </w:num>
  <w:num w:numId="24" w16cid:durableId="1593126977">
    <w:abstractNumId w:val="47"/>
  </w:num>
  <w:num w:numId="25" w16cid:durableId="1593472535">
    <w:abstractNumId w:val="43"/>
  </w:num>
  <w:num w:numId="26" w16cid:durableId="737628161">
    <w:abstractNumId w:val="22"/>
  </w:num>
  <w:num w:numId="27" w16cid:durableId="2069527605">
    <w:abstractNumId w:val="35"/>
  </w:num>
  <w:num w:numId="28" w16cid:durableId="1535270282">
    <w:abstractNumId w:val="15"/>
  </w:num>
  <w:num w:numId="29" w16cid:durableId="1097142443">
    <w:abstractNumId w:val="12"/>
  </w:num>
  <w:num w:numId="30" w16cid:durableId="81806912">
    <w:abstractNumId w:val="36"/>
  </w:num>
  <w:num w:numId="31" w16cid:durableId="253364415">
    <w:abstractNumId w:val="21"/>
  </w:num>
  <w:num w:numId="32" w16cid:durableId="589002437">
    <w:abstractNumId w:val="31"/>
  </w:num>
  <w:num w:numId="33" w16cid:durableId="173738352">
    <w:abstractNumId w:val="41"/>
  </w:num>
  <w:num w:numId="34" w16cid:durableId="1249728784">
    <w:abstractNumId w:val="14"/>
  </w:num>
  <w:num w:numId="35" w16cid:durableId="392656771">
    <w:abstractNumId w:val="44"/>
  </w:num>
  <w:num w:numId="36" w16cid:durableId="1601403696">
    <w:abstractNumId w:val="23"/>
  </w:num>
  <w:num w:numId="37" w16cid:durableId="42214956">
    <w:abstractNumId w:val="30"/>
  </w:num>
  <w:num w:numId="38" w16cid:durableId="1220901153">
    <w:abstractNumId w:val="6"/>
  </w:num>
  <w:num w:numId="39" w16cid:durableId="1353844845">
    <w:abstractNumId w:val="3"/>
  </w:num>
  <w:num w:numId="40" w16cid:durableId="1035546740">
    <w:abstractNumId w:val="26"/>
  </w:num>
  <w:num w:numId="41" w16cid:durableId="2002417773">
    <w:abstractNumId w:val="39"/>
  </w:num>
  <w:num w:numId="42" w16cid:durableId="688990368">
    <w:abstractNumId w:val="32"/>
  </w:num>
  <w:num w:numId="43" w16cid:durableId="1329940846">
    <w:abstractNumId w:val="5"/>
  </w:num>
  <w:num w:numId="44" w16cid:durableId="687214622">
    <w:abstractNumId w:val="25"/>
  </w:num>
  <w:num w:numId="45" w16cid:durableId="339936039">
    <w:abstractNumId w:val="17"/>
  </w:num>
  <w:num w:numId="46" w16cid:durableId="417023289">
    <w:abstractNumId w:val="27"/>
  </w:num>
  <w:num w:numId="47" w16cid:durableId="208036348">
    <w:abstractNumId w:val="16"/>
  </w:num>
  <w:num w:numId="48" w16cid:durableId="1797218022">
    <w:abstractNumId w:val="18"/>
  </w:num>
  <w:num w:numId="49" w16cid:durableId="73743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0658"/>
    <w:rsid w:val="00066226"/>
    <w:rsid w:val="000920E3"/>
    <w:rsid w:val="00096A48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B53E5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758B7"/>
    <w:rsid w:val="00A8509A"/>
    <w:rsid w:val="00A85D3D"/>
    <w:rsid w:val="00A90A2B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D35"/>
  <w15:docId w15:val="{556CD281-DB6D-412E-920B-0C17E9B0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20</cp:revision>
  <dcterms:created xsi:type="dcterms:W3CDTF">2024-06-21T07:07:00Z</dcterms:created>
  <dcterms:modified xsi:type="dcterms:W3CDTF">2024-12-12T13:04:00Z</dcterms:modified>
</cp:coreProperties>
</file>