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D00AC" w:rsidRPr="00BF042B" w:rsidRDefault="001D00AC" w:rsidP="001D00AC">
      <w:pPr>
        <w:ind w:firstLine="0"/>
        <w:jc w:val="center"/>
        <w:rPr>
          <w:b/>
          <w:szCs w:val="24"/>
        </w:rPr>
      </w:pPr>
      <w:r w:rsidRPr="001D00AC">
        <w:rPr>
          <w:rFonts w:eastAsia="SimSun"/>
          <w:b/>
          <w:szCs w:val="24"/>
          <w:lang w:eastAsia="ru-RU"/>
        </w:rPr>
        <w:t xml:space="preserve">«Экспертиза проекта </w:t>
      </w:r>
      <w:r w:rsidRPr="001D00AC">
        <w:rPr>
          <w:b/>
          <w:szCs w:val="24"/>
        </w:rPr>
        <w:t xml:space="preserve">решения Совета депутатов Балахнинского муниципального </w:t>
      </w:r>
      <w:r w:rsidRPr="00BF042B">
        <w:rPr>
          <w:b/>
          <w:szCs w:val="24"/>
        </w:rPr>
        <w:t xml:space="preserve">округа </w:t>
      </w:r>
    </w:p>
    <w:p w:rsidR="001D00AC" w:rsidRPr="00BF042B" w:rsidRDefault="001D00AC" w:rsidP="001D00AC">
      <w:pPr>
        <w:ind w:firstLine="0"/>
        <w:jc w:val="center"/>
        <w:rPr>
          <w:rFonts w:eastAsia="SimSun"/>
          <w:szCs w:val="24"/>
        </w:rPr>
      </w:pPr>
      <w:r w:rsidRPr="00BF042B">
        <w:rPr>
          <w:rFonts w:eastAsia="SimSun"/>
          <w:b/>
          <w:szCs w:val="24"/>
        </w:rPr>
        <w:t>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</w:t>
      </w:r>
      <w:r w:rsidRPr="00BF042B">
        <w:rPr>
          <w:rFonts w:eastAsia="SimSun"/>
          <w:szCs w:val="24"/>
        </w:rPr>
        <w:t xml:space="preserve"> </w:t>
      </w:r>
    </w:p>
    <w:p w:rsidR="001D00AC" w:rsidRPr="00BF042B" w:rsidRDefault="00031FD4" w:rsidP="001D00AC">
      <w:pPr>
        <w:jc w:val="both"/>
        <w:rPr>
          <w:bCs/>
          <w:szCs w:val="24"/>
          <w:lang w:eastAsia="ru-RU"/>
        </w:rPr>
      </w:pPr>
      <w:r w:rsidRPr="00BF042B">
        <w:rPr>
          <w:szCs w:val="24"/>
          <w:lang w:eastAsia="ru-RU"/>
        </w:rPr>
        <w:t xml:space="preserve">В соответствии </w:t>
      </w:r>
      <w:r w:rsidR="004578FE" w:rsidRPr="00BF042B">
        <w:rPr>
          <w:szCs w:val="24"/>
          <w:lang w:eastAsia="ru-RU"/>
        </w:rPr>
        <w:t>с п. 1.</w:t>
      </w:r>
      <w:r w:rsidR="001D00AC" w:rsidRPr="00BF042B">
        <w:rPr>
          <w:szCs w:val="24"/>
          <w:lang w:eastAsia="ru-RU"/>
        </w:rPr>
        <w:t>6</w:t>
      </w:r>
      <w:r w:rsidR="00047C96" w:rsidRPr="00BF042B">
        <w:rPr>
          <w:szCs w:val="24"/>
          <w:lang w:eastAsia="ru-RU"/>
        </w:rPr>
        <w:t>. плана работы на 202</w:t>
      </w:r>
      <w:r w:rsidR="000F7C51" w:rsidRPr="00BF042B">
        <w:rPr>
          <w:szCs w:val="24"/>
          <w:lang w:eastAsia="ru-RU"/>
        </w:rPr>
        <w:t>4</w:t>
      </w:r>
      <w:r w:rsidR="00047C96" w:rsidRPr="00BF042B">
        <w:rPr>
          <w:szCs w:val="24"/>
          <w:lang w:eastAsia="ru-RU"/>
        </w:rPr>
        <w:t xml:space="preserve"> год </w:t>
      </w:r>
      <w:r w:rsidRPr="00BF042B">
        <w:rPr>
          <w:szCs w:val="24"/>
          <w:lang w:eastAsia="ru-RU"/>
        </w:rPr>
        <w:t xml:space="preserve">Контрольно-счетной палатой Балахнинского муниципального округа проведено </w:t>
      </w:r>
      <w:r w:rsidRPr="00BF042B">
        <w:rPr>
          <w:bCs/>
          <w:szCs w:val="24"/>
          <w:lang w:eastAsia="ru-RU"/>
        </w:rPr>
        <w:t xml:space="preserve">экспертно-аналитическое мероприятие </w:t>
      </w:r>
      <w:r w:rsidR="001D00AC" w:rsidRPr="00BF042B">
        <w:rPr>
          <w:bCs/>
          <w:szCs w:val="24"/>
          <w:lang w:eastAsia="ru-RU"/>
        </w:rPr>
        <w:t>«Экспертиза проекта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годов».</w:t>
      </w:r>
      <w:r w:rsidR="00921300" w:rsidRPr="00BF042B">
        <w:rPr>
          <w:bCs/>
          <w:szCs w:val="24"/>
          <w:lang w:eastAsia="ru-RU"/>
        </w:rPr>
        <w:t xml:space="preserve"> </w:t>
      </w:r>
    </w:p>
    <w:p w:rsidR="001D00AC" w:rsidRPr="00BF042B" w:rsidRDefault="001D00AC" w:rsidP="001D00AC">
      <w:pPr>
        <w:ind w:firstLine="709"/>
        <w:jc w:val="both"/>
        <w:rPr>
          <w:lang w:eastAsia="ru-RU"/>
        </w:rPr>
      </w:pPr>
      <w:r w:rsidRPr="00BF042B">
        <w:rPr>
          <w:bCs/>
          <w:szCs w:val="24"/>
          <w:lang w:eastAsia="ru-RU"/>
        </w:rPr>
        <w:t xml:space="preserve"> </w:t>
      </w:r>
      <w:r w:rsidR="001A7441" w:rsidRPr="00BF042B">
        <w:rPr>
          <w:bCs/>
        </w:rPr>
        <w:t xml:space="preserve"> </w:t>
      </w:r>
      <w:r w:rsidR="00031FD4" w:rsidRPr="00BF042B">
        <w:rPr>
          <w:b/>
        </w:rPr>
        <w:t>Цель мероприятия:</w:t>
      </w:r>
      <w:r w:rsidR="00031FD4" w:rsidRPr="00BF042B">
        <w:t xml:space="preserve"> </w:t>
      </w:r>
      <w:r w:rsidRPr="00BF042B">
        <w:rPr>
          <w:lang w:eastAsia="ru-RU"/>
        </w:rPr>
        <w:t xml:space="preserve">установить </w:t>
      </w:r>
      <w:bookmarkStart w:id="0" w:name="_Hlk30665512"/>
      <w:r w:rsidRPr="00BF042B">
        <w:rPr>
          <w:lang w:eastAsia="ru-RU"/>
        </w:rPr>
        <w:t xml:space="preserve">соответствие предлагаемых изменений в основные характеристики бюджета Балахнинского муниципального округа на 2024 год и на плановый период 2025 и 2026 годов действующему бюджетному законодательству Российской Федерации и нормативным правовым актам Нижегородской области и Балахнинского муниципального </w:t>
      </w:r>
      <w:bookmarkEnd w:id="0"/>
      <w:r w:rsidRPr="00BF042B">
        <w:rPr>
          <w:lang w:eastAsia="ru-RU"/>
        </w:rPr>
        <w:t>округа.</w:t>
      </w:r>
    </w:p>
    <w:p w:rsidR="00EC3038" w:rsidRPr="00BF042B" w:rsidRDefault="00031FD4" w:rsidP="00196FC3">
      <w:pPr>
        <w:pStyle w:val="a3"/>
        <w:jc w:val="both"/>
        <w:rPr>
          <w:b/>
        </w:rPr>
      </w:pPr>
      <w:r w:rsidRPr="00BF042B">
        <w:rPr>
          <w:b/>
        </w:rPr>
        <w:t xml:space="preserve">В результате проведенного мероприятия установлено: </w:t>
      </w:r>
    </w:p>
    <w:p w:rsidR="00BF042B" w:rsidRPr="00A92220" w:rsidRDefault="00BF042B" w:rsidP="00BF042B">
      <w:pPr>
        <w:tabs>
          <w:tab w:val="left" w:pos="142"/>
        </w:tabs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1. Проектом решения предлагается утвердить основные характеристики бюджета Балахнинского муниципального округа в следующих размерах:</w:t>
      </w:r>
    </w:p>
    <w:p w:rsidR="00BF042B" w:rsidRPr="00A92220" w:rsidRDefault="00BF042B" w:rsidP="00BF042B">
      <w:pPr>
        <w:tabs>
          <w:tab w:val="left" w:pos="142"/>
          <w:tab w:val="left" w:pos="1701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2024 год: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4</w:t>
      </w:r>
      <w:r>
        <w:rPr>
          <w:szCs w:val="24"/>
          <w:lang w:eastAsia="ru-RU"/>
        </w:rPr>
        <w:t> 101 656,6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4</w:t>
      </w:r>
      <w:r>
        <w:rPr>
          <w:szCs w:val="24"/>
          <w:lang w:eastAsia="ru-RU"/>
        </w:rPr>
        <w:t> 219 648,2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117 991,6 тыс. рублей.</w:t>
      </w:r>
    </w:p>
    <w:p w:rsidR="00BF042B" w:rsidRPr="00A92220" w:rsidRDefault="00BF042B" w:rsidP="00BF042B">
      <w:pPr>
        <w:tabs>
          <w:tab w:val="left" w:pos="142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2025 год: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2 716</w:t>
      </w:r>
      <w:r>
        <w:rPr>
          <w:szCs w:val="24"/>
          <w:lang w:eastAsia="ru-RU"/>
        </w:rPr>
        <w:t> 517,6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2 716</w:t>
      </w:r>
      <w:r>
        <w:rPr>
          <w:szCs w:val="24"/>
          <w:lang w:eastAsia="ru-RU"/>
        </w:rPr>
        <w:t> 517,6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0,0 тыс. рублей.</w:t>
      </w:r>
    </w:p>
    <w:p w:rsidR="00BF042B" w:rsidRPr="00A92220" w:rsidRDefault="00BF042B" w:rsidP="00BF042B">
      <w:pPr>
        <w:tabs>
          <w:tab w:val="left" w:pos="142"/>
        </w:tabs>
        <w:ind w:firstLine="1985"/>
        <w:rPr>
          <w:szCs w:val="24"/>
          <w:lang w:eastAsia="ru-RU"/>
        </w:rPr>
      </w:pPr>
      <w:r w:rsidRPr="00A92220">
        <w:rPr>
          <w:szCs w:val="24"/>
          <w:lang w:eastAsia="ru-RU"/>
        </w:rPr>
        <w:t>на 2026 год: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доходов в сумме 2 763</w:t>
      </w:r>
      <w:r>
        <w:rPr>
          <w:szCs w:val="24"/>
          <w:lang w:eastAsia="ru-RU"/>
        </w:rPr>
        <w:t> 636,1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общий объем расходов в сумме 2 763</w:t>
      </w:r>
      <w:r>
        <w:rPr>
          <w:szCs w:val="24"/>
          <w:lang w:eastAsia="ru-RU"/>
        </w:rPr>
        <w:t> 636,1</w:t>
      </w:r>
      <w:r w:rsidRPr="00A92220">
        <w:rPr>
          <w:szCs w:val="24"/>
          <w:lang w:eastAsia="ru-RU"/>
        </w:rPr>
        <w:t xml:space="preserve"> тыс. рублей;</w:t>
      </w:r>
    </w:p>
    <w:p w:rsidR="00BF042B" w:rsidRPr="00A92220" w:rsidRDefault="00BF042B" w:rsidP="00BF042B">
      <w:pPr>
        <w:tabs>
          <w:tab w:val="left" w:pos="142"/>
        </w:tabs>
        <w:ind w:firstLine="0"/>
        <w:rPr>
          <w:szCs w:val="24"/>
          <w:lang w:eastAsia="ru-RU"/>
        </w:rPr>
      </w:pPr>
      <w:r w:rsidRPr="00A92220">
        <w:rPr>
          <w:szCs w:val="24"/>
          <w:lang w:eastAsia="ru-RU"/>
        </w:rPr>
        <w:t>- размер дефицита в сумме 0,0 тыс. рублей.</w:t>
      </w:r>
    </w:p>
    <w:p w:rsidR="00BF042B" w:rsidRPr="00C04FBE" w:rsidRDefault="00BF042B" w:rsidP="00BF042B">
      <w:pPr>
        <w:ind w:firstLine="540"/>
        <w:jc w:val="both"/>
        <w:rPr>
          <w:lang w:eastAsia="ru-RU"/>
        </w:rPr>
      </w:pPr>
      <w:r w:rsidRPr="00A92220">
        <w:rPr>
          <w:szCs w:val="24"/>
          <w:lang w:eastAsia="ru-RU"/>
        </w:rPr>
        <w:t>2. </w:t>
      </w:r>
      <w:r w:rsidRPr="00A92220">
        <w:rPr>
          <w:lang w:eastAsia="ru-RU"/>
        </w:rPr>
        <w:t xml:space="preserve">Представленным </w:t>
      </w:r>
      <w:r>
        <w:rPr>
          <w:lang w:eastAsia="ru-RU"/>
        </w:rPr>
        <w:t>П</w:t>
      </w:r>
      <w:r w:rsidRPr="00A92220">
        <w:rPr>
          <w:lang w:eastAsia="ru-RU"/>
        </w:rPr>
        <w:t xml:space="preserve">роектом решения предлагается утвердить общий объем доходов </w:t>
      </w:r>
      <w:r w:rsidRPr="00C04FBE">
        <w:rPr>
          <w:lang w:eastAsia="ru-RU"/>
        </w:rPr>
        <w:t>на 2024 год в сумме 4 101</w:t>
      </w:r>
      <w:r>
        <w:rPr>
          <w:lang w:eastAsia="ru-RU"/>
        </w:rPr>
        <w:t> 656,6</w:t>
      </w:r>
      <w:r w:rsidRPr="00C04FBE">
        <w:rPr>
          <w:lang w:eastAsia="ru-RU"/>
        </w:rPr>
        <w:t xml:space="preserve"> тыс. рублей с увеличением на </w:t>
      </w:r>
      <w:r>
        <w:rPr>
          <w:lang w:eastAsia="ru-RU"/>
        </w:rPr>
        <w:t>461,7</w:t>
      </w:r>
      <w:r w:rsidRPr="00C04FBE">
        <w:rPr>
          <w:lang w:eastAsia="ru-RU"/>
        </w:rPr>
        <w:t xml:space="preserve"> тыс. рублей от плановых назначений по доходам уточненного бюджета.  </w:t>
      </w:r>
    </w:p>
    <w:p w:rsidR="00BF042B" w:rsidRDefault="00BF042B" w:rsidP="00BF042B">
      <w:pPr>
        <w:ind w:firstLine="540"/>
        <w:jc w:val="both"/>
        <w:rPr>
          <w:szCs w:val="24"/>
          <w:lang w:eastAsia="ru-RU"/>
        </w:rPr>
      </w:pPr>
      <w:r w:rsidRPr="00A92220">
        <w:rPr>
          <w:lang w:eastAsia="ru-RU"/>
        </w:rPr>
        <w:t>Проектом решения предлагается</w:t>
      </w:r>
      <w:r>
        <w:rPr>
          <w:lang w:eastAsia="ru-RU"/>
        </w:rPr>
        <w:t xml:space="preserve"> по налоговым и неналоговым доходам увеличить</w:t>
      </w:r>
      <w:r w:rsidRPr="00A92220">
        <w:rPr>
          <w:lang w:eastAsia="ru-RU"/>
        </w:rPr>
        <w:t xml:space="preserve"> </w:t>
      </w:r>
      <w:r w:rsidRPr="00EB6C58">
        <w:rPr>
          <w:lang w:eastAsia="ru-RU"/>
        </w:rPr>
        <w:t xml:space="preserve">плановые назначения </w:t>
      </w:r>
      <w:r w:rsidRPr="00A92220">
        <w:rPr>
          <w:lang w:eastAsia="ru-RU"/>
        </w:rPr>
        <w:t xml:space="preserve">на сумму </w:t>
      </w:r>
      <w:r>
        <w:rPr>
          <w:lang w:eastAsia="ru-RU"/>
        </w:rPr>
        <w:t xml:space="preserve">461,7 </w:t>
      </w:r>
      <w:r w:rsidRPr="00A92220">
        <w:rPr>
          <w:lang w:eastAsia="ru-RU"/>
        </w:rPr>
        <w:t xml:space="preserve">тыс. рублей, с </w:t>
      </w:r>
      <w:r>
        <w:rPr>
          <w:lang w:eastAsia="ru-RU"/>
        </w:rPr>
        <w:t xml:space="preserve">1 144 822,8 </w:t>
      </w:r>
      <w:r w:rsidRPr="00A92220">
        <w:rPr>
          <w:lang w:eastAsia="ru-RU"/>
        </w:rPr>
        <w:t xml:space="preserve">тыс. рублей до </w:t>
      </w:r>
      <w:r>
        <w:rPr>
          <w:lang w:eastAsia="ru-RU"/>
        </w:rPr>
        <w:t>1 145 284,5 </w:t>
      </w:r>
      <w:r w:rsidRPr="00A92220">
        <w:rPr>
          <w:lang w:eastAsia="ru-RU"/>
        </w:rPr>
        <w:t>тыс. рублей</w:t>
      </w:r>
      <w:r>
        <w:rPr>
          <w:lang w:eastAsia="ru-RU"/>
        </w:rPr>
        <w:t xml:space="preserve"> по штрафам, санкциям, возмещению ущерба.</w:t>
      </w:r>
    </w:p>
    <w:p w:rsidR="00BF042B" w:rsidRPr="00A92220" w:rsidRDefault="00BF042B" w:rsidP="00BF042B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Проектом решения изменени</w:t>
      </w:r>
      <w:r>
        <w:rPr>
          <w:szCs w:val="24"/>
          <w:lang w:eastAsia="ru-RU"/>
        </w:rPr>
        <w:t>й</w:t>
      </w:r>
      <w:r w:rsidRPr="00A92220">
        <w:rPr>
          <w:szCs w:val="24"/>
          <w:lang w:eastAsia="ru-RU"/>
        </w:rPr>
        <w:t xml:space="preserve"> плановы</w:t>
      </w:r>
      <w:r>
        <w:rPr>
          <w:szCs w:val="24"/>
          <w:lang w:eastAsia="ru-RU"/>
        </w:rPr>
        <w:t>х</w:t>
      </w:r>
      <w:r w:rsidRPr="00A92220">
        <w:rPr>
          <w:szCs w:val="24"/>
          <w:lang w:eastAsia="ru-RU"/>
        </w:rPr>
        <w:t xml:space="preserve"> назначени</w:t>
      </w:r>
      <w:r>
        <w:rPr>
          <w:szCs w:val="24"/>
          <w:lang w:eastAsia="ru-RU"/>
        </w:rPr>
        <w:t>й</w:t>
      </w:r>
      <w:r w:rsidRPr="00A92220">
        <w:rPr>
          <w:szCs w:val="24"/>
          <w:lang w:eastAsia="ru-RU"/>
        </w:rPr>
        <w:t xml:space="preserve"> доходной части бюджета Балахнинского муниципального округа на </w:t>
      </w:r>
      <w:r w:rsidRPr="001576B4">
        <w:rPr>
          <w:szCs w:val="24"/>
          <w:lang w:eastAsia="ru-RU"/>
        </w:rPr>
        <w:t>2025 год и на 2026 год</w:t>
      </w:r>
      <w:r w:rsidRPr="00A9222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не предлагается. </w:t>
      </w:r>
    </w:p>
    <w:p w:rsidR="00BF042B" w:rsidRPr="00BF042B" w:rsidRDefault="00BF042B" w:rsidP="00BF042B">
      <w:pPr>
        <w:ind w:firstLine="54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</w:t>
      </w:r>
      <w:r w:rsidRPr="00A92220">
        <w:rPr>
          <w:szCs w:val="24"/>
          <w:lang w:eastAsia="ru-RU"/>
        </w:rPr>
        <w:t xml:space="preserve">. </w:t>
      </w:r>
      <w:r w:rsidRPr="00BF042B">
        <w:rPr>
          <w:lang w:eastAsia="ru-RU"/>
        </w:rPr>
        <w:t>По функциональной классификации расходов бюджетов бюджетной системы Российской Федерации и</w:t>
      </w:r>
      <w:r w:rsidRPr="00BF042B">
        <w:rPr>
          <w:szCs w:val="24"/>
          <w:lang w:eastAsia="ru-RU"/>
        </w:rPr>
        <w:t>зменения плановых назначений Проектом решения предлагается по следующим разделам:</w:t>
      </w:r>
    </w:p>
    <w:p w:rsidR="00BF042B" w:rsidRPr="00BF042B" w:rsidRDefault="00BF042B" w:rsidP="00BF042B">
      <w:pPr>
        <w:numPr>
          <w:ilvl w:val="0"/>
          <w:numId w:val="6"/>
        </w:numPr>
        <w:tabs>
          <w:tab w:val="left" w:pos="709"/>
        </w:tabs>
        <w:ind w:left="1134" w:hanging="567"/>
        <w:jc w:val="both"/>
        <w:rPr>
          <w:lang w:eastAsia="ru-RU"/>
        </w:rPr>
      </w:pPr>
      <w:r w:rsidRPr="00BF042B">
        <w:rPr>
          <w:lang w:eastAsia="ru-RU"/>
        </w:rPr>
        <w:t xml:space="preserve">по разделу «Общегосударственные вопросы» </w:t>
      </w:r>
    </w:p>
    <w:p w:rsidR="00BF042B" w:rsidRPr="00BF042B" w:rsidRDefault="00BF042B" w:rsidP="00BF042B">
      <w:pPr>
        <w:jc w:val="both"/>
        <w:rPr>
          <w:lang w:eastAsia="ru-RU"/>
        </w:rPr>
      </w:pPr>
      <w:r w:rsidRPr="00BF042B">
        <w:rPr>
          <w:lang w:eastAsia="ru-RU"/>
        </w:rPr>
        <w:t>Проектом решения на 2024 год по данному разделу предлагается ранее выделенные средства увеличить на 4 550,3 тыс. рублей, по подразделу 0113 «Другие общегосударственные вопросы». В результате расходы по разделу «Общегосударственные вопросы» на 2024 год составят 314 501,6 тыс. рублей.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Также представленным Проектом решения предлагается увеличить плановые назначения на 2025 год и на 2026 год. 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lastRenderedPageBreak/>
        <w:t>На 2025 год увеличить на сумму 8 635,5 тыс. рублей по подразделу 0113 «</w:t>
      </w:r>
      <w:r w:rsidRPr="00BF042B">
        <w:rPr>
          <w:lang w:eastAsia="ru-RU"/>
        </w:rPr>
        <w:t>Другие общегосударственные вопросы</w:t>
      </w:r>
      <w:r w:rsidRPr="00BF042B">
        <w:rPr>
          <w:szCs w:val="24"/>
          <w:lang w:eastAsia="ru-RU"/>
        </w:rPr>
        <w:t>».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На 2026 год увеличить на сумму 8 635,5 тыс. рублей по подразделу 0113 «</w:t>
      </w:r>
      <w:r w:rsidRPr="00BF042B">
        <w:rPr>
          <w:lang w:eastAsia="ru-RU"/>
        </w:rPr>
        <w:t>Другие общегосударственные вопросы</w:t>
      </w:r>
      <w:r w:rsidRPr="00BF042B">
        <w:rPr>
          <w:szCs w:val="24"/>
          <w:lang w:eastAsia="ru-RU"/>
        </w:rPr>
        <w:t>».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В результате расходы по разделу «Общегосударственные вопросы» предлагается утвердить на 2025 год в сумме 292 301,6 тыс. рублей, на 2026 год в сумме 295 047,5 тыс. рублей.</w:t>
      </w:r>
    </w:p>
    <w:p w:rsidR="00BF042B" w:rsidRPr="00BF042B" w:rsidRDefault="00BF042B" w:rsidP="00BF042B">
      <w:pPr>
        <w:numPr>
          <w:ilvl w:val="0"/>
          <w:numId w:val="6"/>
        </w:numPr>
        <w:tabs>
          <w:tab w:val="left" w:pos="709"/>
        </w:tabs>
        <w:ind w:left="928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по разделу «Национальная безопасность и правоохранительная деятельность»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Проектом решения плановые назначения на 2024 год предлагается уменьшить на сумму 4 088,6 тыс. рублей по подразделу 0310 «</w:t>
      </w:r>
      <w:r w:rsidRPr="00BF042B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BF042B">
        <w:rPr>
          <w:szCs w:val="24"/>
          <w:lang w:eastAsia="ru-RU"/>
        </w:rPr>
        <w:t>».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В результате предлагаемых изменений расходы по данному разделу составят 25 303,0 тыс. рублей.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На 2025 год уменьшить на сумму 8 635,5 тыс. рублей по подразделу 0310 «</w:t>
      </w:r>
      <w:r w:rsidRPr="00BF042B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BF042B">
        <w:rPr>
          <w:szCs w:val="24"/>
          <w:lang w:eastAsia="ru-RU"/>
        </w:rPr>
        <w:t>».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На 2026 год уменьшить на сумму 8 635,5 тыс. рублей по подразделу 0310 «</w:t>
      </w:r>
      <w:r w:rsidRPr="00BF042B">
        <w:rPr>
          <w:bCs/>
          <w:szCs w:val="24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BF042B">
        <w:rPr>
          <w:szCs w:val="24"/>
          <w:lang w:eastAsia="ru-RU"/>
        </w:rPr>
        <w:t>».</w:t>
      </w:r>
    </w:p>
    <w:p w:rsidR="00BF042B" w:rsidRPr="00BF042B" w:rsidRDefault="00BF042B" w:rsidP="00BF042B">
      <w:pPr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В результате расходы по разделу «Национальная безопасность и правоохранительная деятельность» предлагается утвердить на 2025 год в сумме 20 775,5 тыс. рублей, на 2026 год в сумме 20 775,5 тыс. рублей.</w:t>
      </w:r>
    </w:p>
    <w:p w:rsidR="00BF042B" w:rsidRPr="00BF042B" w:rsidRDefault="00BF042B" w:rsidP="00BF042B">
      <w:pPr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4. В соответствии с пунктом 2 статьи 179 Бюджетного кодекса РФ объем бюджетных ассигнований на финансовое обеспечение реализации муниципальных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местной администрации муниципального образования. </w:t>
      </w:r>
    </w:p>
    <w:p w:rsidR="00BF042B" w:rsidRPr="00BF042B" w:rsidRDefault="00BF042B" w:rsidP="00BF042B">
      <w:pPr>
        <w:tabs>
          <w:tab w:val="left" w:pos="142"/>
        </w:tabs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Согласно Проекту решения, изменения объемов финансирования мероприятий, перераспределения плановых назначений по мероприятиям в рамках муниципальных программ коснулись 1 из 21 муниципальных программ:</w:t>
      </w:r>
    </w:p>
    <w:p w:rsidR="00BF042B" w:rsidRPr="00BF042B" w:rsidRDefault="00BF042B" w:rsidP="00BF042B">
      <w:pPr>
        <w:tabs>
          <w:tab w:val="left" w:pos="142"/>
        </w:tabs>
        <w:jc w:val="both"/>
        <w:rPr>
          <w:bCs/>
          <w:szCs w:val="24"/>
          <w:lang w:eastAsia="ru-RU"/>
        </w:rPr>
      </w:pPr>
      <w:r w:rsidRPr="00BF042B">
        <w:rPr>
          <w:bCs/>
          <w:iCs/>
          <w:szCs w:val="24"/>
          <w:lang w:eastAsia="ru-RU"/>
        </w:rPr>
        <w:t>-"Управление муниципальным имуществом и земельными ресурсами Балахнинского муниципального округа Нижегородской области".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5. Непрограммные расходы на 2024 год предлагается оставить без изменений в сумме 373 729,4 тыс. рублей.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Проектом решения предлагается произвести перераспределение плановых назначений расходов по целевой статье расходов 77 7 02 00000 «Муниципальные учреждения» на 2024 год и на плановый период 2025 и 2026 годы: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- на сумму 4 088,6 тыс. рублей на 2024 год;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- на сумму 8 635,3 тыс. рублей на 2025 год; 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>- на сумму 8 635,3 тыс. рублей на 2026 год.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Непрограммные расходы на 2025 год предлагается оставить без изменений в сумме 331 856,1 тыс. рублей. 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Непрограммные расходы на 2026 год без изменений в сумме 344 902,9 тыс. рублей. </w:t>
      </w:r>
    </w:p>
    <w:p w:rsidR="00BF042B" w:rsidRPr="00BF042B" w:rsidRDefault="00BF042B" w:rsidP="00BF042B">
      <w:pPr>
        <w:tabs>
          <w:tab w:val="left" w:pos="142"/>
        </w:tabs>
        <w:ind w:firstLine="709"/>
        <w:jc w:val="both"/>
        <w:rPr>
          <w:szCs w:val="24"/>
          <w:lang w:eastAsia="ru-RU"/>
        </w:rPr>
      </w:pPr>
      <w:r w:rsidRPr="00BF042B">
        <w:rPr>
          <w:szCs w:val="24"/>
          <w:lang w:eastAsia="ru-RU"/>
        </w:rPr>
        <w:t xml:space="preserve">6. С учетом предлагаемых изменений дефицит на 2024 год не изменяется и составляет 117 991,6 тыс. рублей. </w:t>
      </w:r>
    </w:p>
    <w:p w:rsidR="00BF042B" w:rsidRPr="00A92220" w:rsidRDefault="00BF042B" w:rsidP="00BF042B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В качестве источников финансирования дефицита бюджета предлагается:</w:t>
      </w:r>
    </w:p>
    <w:p w:rsidR="00BF042B" w:rsidRPr="00A92220" w:rsidRDefault="00BF042B" w:rsidP="00BF042B">
      <w:pPr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t>- р</w:t>
      </w:r>
      <w:r w:rsidRPr="00A92220">
        <w:rPr>
          <w:bCs/>
          <w:szCs w:val="24"/>
          <w:lang w:eastAsia="ru-RU"/>
        </w:rPr>
        <w:t>азница между привлеченными и погашенными бюджетом муниципального округа в валюте Российской Федерации кредитами кредитных организаций на 2024 год –</w:t>
      </w:r>
      <w:r w:rsidRPr="00A92220">
        <w:rPr>
          <w:szCs w:val="24"/>
          <w:lang w:eastAsia="ru-RU"/>
        </w:rPr>
        <w:t xml:space="preserve"> 33 018,7 тыс. рублей, на 2025 год – 0,0 тыс. рублей, на 2026 год – 0,0 тыс. рублей;</w:t>
      </w:r>
    </w:p>
    <w:p w:rsidR="00BF042B" w:rsidRPr="00A92220" w:rsidRDefault="00BF042B" w:rsidP="00BF042B">
      <w:pPr>
        <w:jc w:val="both"/>
        <w:rPr>
          <w:szCs w:val="24"/>
          <w:lang w:eastAsia="ru-RU"/>
        </w:rPr>
      </w:pPr>
      <w:r w:rsidRPr="00A92220">
        <w:rPr>
          <w:bCs/>
          <w:szCs w:val="24"/>
          <w:lang w:eastAsia="ru-RU"/>
        </w:rPr>
        <w:t xml:space="preserve">- </w:t>
      </w:r>
      <w:r w:rsidRPr="00A92220">
        <w:rPr>
          <w:szCs w:val="24"/>
          <w:lang w:eastAsia="ru-RU"/>
        </w:rPr>
        <w:t>изменение остатков средств на счетах по учету средств бюджета на 2024 год – 84 972,9 тыс. рублей, на 2025 год – 0,0 тыс. рублей, на 2026 год – 0,0 тыс. рублей.</w:t>
      </w:r>
    </w:p>
    <w:p w:rsidR="00BF042B" w:rsidRPr="00FD76FA" w:rsidRDefault="00BF042B" w:rsidP="00BF042B">
      <w:pPr>
        <w:pStyle w:val="a3"/>
        <w:tabs>
          <w:tab w:val="left" w:pos="709"/>
          <w:tab w:val="left" w:pos="851"/>
        </w:tabs>
        <w:ind w:left="142" w:firstLine="425"/>
        <w:jc w:val="both"/>
        <w:rPr>
          <w:szCs w:val="24"/>
        </w:rPr>
      </w:pPr>
    </w:p>
    <w:p w:rsidR="00BF042B" w:rsidRPr="00A92220" w:rsidRDefault="00BF042B" w:rsidP="00BF042B">
      <w:pPr>
        <w:tabs>
          <w:tab w:val="left" w:pos="142"/>
        </w:tabs>
        <w:ind w:left="142" w:firstLine="425"/>
        <w:jc w:val="both"/>
        <w:rPr>
          <w:szCs w:val="24"/>
          <w:lang w:eastAsia="ru-RU"/>
        </w:rPr>
      </w:pPr>
      <w:r w:rsidRPr="00A92220">
        <w:rPr>
          <w:szCs w:val="24"/>
          <w:lang w:eastAsia="ru-RU"/>
        </w:rPr>
        <w:lastRenderedPageBreak/>
        <w:t>Проект решения Совета депутатов Балахнинского муниципального округа «О внесении изменений и дополнений в решение Совета депутатов Балахнинского муниципального округа от 14.12.2023 № 541 «О бюджете Балахнинского муниципального округа на 2024 год и на плановый период 2025 и 2026 годов» может быть принят к рассмотрению</w:t>
      </w:r>
      <w:r>
        <w:rPr>
          <w:szCs w:val="24"/>
          <w:lang w:eastAsia="ru-RU"/>
        </w:rPr>
        <w:t>.</w:t>
      </w:r>
      <w:r w:rsidRPr="00A92220">
        <w:rPr>
          <w:szCs w:val="24"/>
          <w:lang w:eastAsia="ru-RU"/>
        </w:rPr>
        <w:t xml:space="preserve"> </w:t>
      </w:r>
    </w:p>
    <w:p w:rsidR="00611E3C" w:rsidRPr="00BF042B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BF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100803">
    <w:abstractNumId w:val="3"/>
  </w:num>
  <w:num w:numId="2" w16cid:durableId="1416585271">
    <w:abstractNumId w:val="1"/>
  </w:num>
  <w:num w:numId="3" w16cid:durableId="349382212">
    <w:abstractNumId w:val="5"/>
  </w:num>
  <w:num w:numId="4" w16cid:durableId="305208876">
    <w:abstractNumId w:val="6"/>
  </w:num>
  <w:num w:numId="5" w16cid:durableId="1382167432">
    <w:abstractNumId w:val="4"/>
  </w:num>
  <w:num w:numId="6" w16cid:durableId="1918439622">
    <w:abstractNumId w:val="2"/>
  </w:num>
  <w:num w:numId="7" w16cid:durableId="8980523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D00AC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87520"/>
    <w:rsid w:val="00494655"/>
    <w:rsid w:val="004951BD"/>
    <w:rsid w:val="004C4C0B"/>
    <w:rsid w:val="004D5A62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4515C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21300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35B9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042B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212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BE000-3A33-4954-A1F2-4BDDD54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aff0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f0">
    <w:name w:val="Заголовок Знак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1">
    <w:name w:val="Верхний и нижний колонтитулы"/>
    <w:basedOn w:val="a"/>
    <w:qFormat/>
    <w:rsid w:val="008B47EA"/>
    <w:pPr>
      <w:suppressAutoHyphens/>
    </w:pPr>
  </w:style>
  <w:style w:type="paragraph" w:styleId="aff2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2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4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6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7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7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8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9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a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5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b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c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d">
    <w:name w:val="Заголовок таблицы"/>
    <w:basedOn w:val="affc"/>
    <w:qFormat/>
    <w:rsid w:val="008B47EA"/>
    <w:pPr>
      <w:jc w:val="center"/>
    </w:pPr>
    <w:rPr>
      <w:b/>
      <w:bCs/>
    </w:rPr>
  </w:style>
  <w:style w:type="paragraph" w:customStyle="1" w:styleId="affe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f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0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0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1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1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2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6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3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4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4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7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8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9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footnote text"/>
    <w:basedOn w:val="a"/>
    <w:link w:val="afff6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6">
    <w:name w:val="Текст сноски Знак"/>
    <w:basedOn w:val="a0"/>
    <w:link w:val="afff5"/>
    <w:uiPriority w:val="99"/>
    <w:semiHidden/>
    <w:rsid w:val="008B47EA"/>
    <w:rPr>
      <w:sz w:val="20"/>
      <w:szCs w:val="20"/>
    </w:rPr>
  </w:style>
  <w:style w:type="character" w:styleId="afff7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a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2c">
    <w:name w:val="Заголовок2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7"/>
    <w:next w:val="aff7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Гурылева Евгения Владимировна</cp:lastModifiedBy>
  <cp:revision>4</cp:revision>
  <dcterms:created xsi:type="dcterms:W3CDTF">2024-07-08T08:17:00Z</dcterms:created>
  <dcterms:modified xsi:type="dcterms:W3CDTF">2024-08-15T08:29:00Z</dcterms:modified>
</cp:coreProperties>
</file>