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  <w:r w:rsidR="00AE0C3C">
        <w:rPr>
          <w:b/>
          <w:bCs/>
          <w:szCs w:val="24"/>
          <w:lang w:eastAsia="ru-RU"/>
        </w:rPr>
        <w:t xml:space="preserve"> </w:t>
      </w:r>
    </w:p>
    <w:p w:rsidR="0043309E" w:rsidRPr="00193C1D" w:rsidRDefault="00193C1D" w:rsidP="0043309E">
      <w:pPr>
        <w:tabs>
          <w:tab w:val="right" w:pos="9072"/>
        </w:tabs>
        <w:suppressAutoHyphens/>
        <w:ind w:firstLine="0"/>
        <w:jc w:val="center"/>
        <w:rPr>
          <w:b/>
          <w:color w:val="FF0000"/>
          <w:szCs w:val="24"/>
          <w:lang w:eastAsia="ru-RU"/>
        </w:rPr>
      </w:pPr>
      <w:r w:rsidRPr="00193C1D">
        <w:rPr>
          <w:b/>
          <w:bCs/>
          <w:szCs w:val="24"/>
          <w:lang w:eastAsia="ru-RU"/>
        </w:rPr>
        <w:t xml:space="preserve">«Внешняя проверка годового отчета об исполнении бюджета </w:t>
      </w:r>
      <w:proofErr w:type="spellStart"/>
      <w:r w:rsidRPr="00193C1D">
        <w:rPr>
          <w:b/>
          <w:bCs/>
          <w:szCs w:val="24"/>
          <w:lang w:eastAsia="ru-RU"/>
        </w:rPr>
        <w:t>Балахнинского</w:t>
      </w:r>
      <w:proofErr w:type="spellEnd"/>
      <w:r w:rsidRPr="00193C1D">
        <w:rPr>
          <w:b/>
          <w:bCs/>
          <w:szCs w:val="24"/>
          <w:lang w:eastAsia="ru-RU"/>
        </w:rPr>
        <w:t xml:space="preserve"> муниципального округа за 2023 год»</w:t>
      </w:r>
    </w:p>
    <w:p w:rsidR="006F2173" w:rsidRPr="00193C1D" w:rsidRDefault="00031FD4" w:rsidP="009B3F77">
      <w:pPr>
        <w:pStyle w:val="a3"/>
        <w:jc w:val="both"/>
        <w:rPr>
          <w:bCs/>
          <w:szCs w:val="24"/>
          <w:lang w:eastAsia="ru-RU"/>
        </w:rPr>
      </w:pPr>
      <w:r w:rsidRPr="00193C1D">
        <w:rPr>
          <w:szCs w:val="24"/>
          <w:lang w:eastAsia="ru-RU"/>
        </w:rPr>
        <w:t xml:space="preserve">В соответствии </w:t>
      </w:r>
      <w:r w:rsidR="004578FE" w:rsidRPr="00193C1D">
        <w:rPr>
          <w:szCs w:val="24"/>
          <w:lang w:eastAsia="ru-RU"/>
        </w:rPr>
        <w:t>с п. 1.</w:t>
      </w:r>
      <w:r w:rsidR="00193C1D" w:rsidRPr="00193C1D">
        <w:rPr>
          <w:szCs w:val="24"/>
          <w:lang w:eastAsia="ru-RU"/>
        </w:rPr>
        <w:t>2</w:t>
      </w:r>
      <w:r w:rsidR="00047C96" w:rsidRPr="00193C1D">
        <w:rPr>
          <w:szCs w:val="24"/>
          <w:lang w:eastAsia="ru-RU"/>
        </w:rPr>
        <w:t>. плана работы на 202</w:t>
      </w:r>
      <w:r w:rsidR="000F7C51" w:rsidRPr="00193C1D">
        <w:rPr>
          <w:szCs w:val="24"/>
          <w:lang w:eastAsia="ru-RU"/>
        </w:rPr>
        <w:t>4</w:t>
      </w:r>
      <w:r w:rsidR="00047C96" w:rsidRPr="00193C1D">
        <w:rPr>
          <w:szCs w:val="24"/>
          <w:lang w:eastAsia="ru-RU"/>
        </w:rPr>
        <w:t xml:space="preserve"> год </w:t>
      </w:r>
      <w:r w:rsidRPr="00193C1D">
        <w:rPr>
          <w:szCs w:val="24"/>
          <w:lang w:eastAsia="ru-RU"/>
        </w:rPr>
        <w:t xml:space="preserve">Контрольно-счетной палатой </w:t>
      </w:r>
      <w:proofErr w:type="spellStart"/>
      <w:r w:rsidRPr="00193C1D">
        <w:rPr>
          <w:szCs w:val="24"/>
          <w:lang w:eastAsia="ru-RU"/>
        </w:rPr>
        <w:t>Балахнинского</w:t>
      </w:r>
      <w:proofErr w:type="spellEnd"/>
      <w:r w:rsidRPr="00193C1D">
        <w:rPr>
          <w:szCs w:val="24"/>
          <w:lang w:eastAsia="ru-RU"/>
        </w:rPr>
        <w:t xml:space="preserve"> муниципального округа проведено </w:t>
      </w:r>
      <w:r w:rsidRPr="00193C1D">
        <w:rPr>
          <w:bCs/>
          <w:szCs w:val="24"/>
          <w:lang w:eastAsia="ru-RU"/>
        </w:rPr>
        <w:t xml:space="preserve">экспертно-аналитическое мероприятие </w:t>
      </w:r>
      <w:r w:rsidR="00193C1D" w:rsidRPr="00193C1D">
        <w:rPr>
          <w:bCs/>
          <w:szCs w:val="24"/>
          <w:lang w:eastAsia="ru-RU"/>
        </w:rPr>
        <w:t xml:space="preserve">«Внешняя проверка годового отчета об исполнении бюджета </w:t>
      </w:r>
      <w:proofErr w:type="spellStart"/>
      <w:r w:rsidR="00193C1D" w:rsidRPr="00193C1D">
        <w:rPr>
          <w:bCs/>
          <w:szCs w:val="24"/>
          <w:lang w:eastAsia="ru-RU"/>
        </w:rPr>
        <w:t>Балахнинского</w:t>
      </w:r>
      <w:proofErr w:type="spellEnd"/>
      <w:r w:rsidR="00193C1D" w:rsidRPr="00193C1D">
        <w:rPr>
          <w:bCs/>
          <w:szCs w:val="24"/>
          <w:lang w:eastAsia="ru-RU"/>
        </w:rPr>
        <w:t xml:space="preserve"> муниципального округа за 2023 год»</w:t>
      </w:r>
      <w:r w:rsidR="00A22465" w:rsidRPr="00193C1D">
        <w:rPr>
          <w:bCs/>
          <w:szCs w:val="24"/>
          <w:lang w:eastAsia="ru-RU"/>
        </w:rPr>
        <w:t>.</w:t>
      </w:r>
    </w:p>
    <w:p w:rsidR="00193C1D" w:rsidRPr="00193C1D" w:rsidRDefault="00193C1D" w:rsidP="00193C1D">
      <w:pPr>
        <w:jc w:val="both"/>
        <w:rPr>
          <w:bCs/>
          <w:lang w:eastAsia="ru-RU"/>
        </w:rPr>
      </w:pPr>
      <w:r w:rsidRPr="00193C1D">
        <w:rPr>
          <w:b/>
          <w:szCs w:val="24"/>
          <w:lang w:eastAsia="ru-RU"/>
        </w:rPr>
        <w:t>Цели</w:t>
      </w:r>
      <w:r w:rsidR="00031FD4" w:rsidRPr="00193C1D">
        <w:rPr>
          <w:b/>
          <w:szCs w:val="24"/>
          <w:lang w:eastAsia="ru-RU"/>
        </w:rPr>
        <w:t xml:space="preserve"> мероприятия:</w:t>
      </w:r>
      <w:r w:rsidR="00031FD4" w:rsidRPr="00193C1D">
        <w:rPr>
          <w:szCs w:val="24"/>
          <w:lang w:eastAsia="ru-RU"/>
        </w:rPr>
        <w:t xml:space="preserve"> </w:t>
      </w:r>
    </w:p>
    <w:p w:rsidR="00193C1D" w:rsidRPr="00193C1D" w:rsidRDefault="00193C1D" w:rsidP="00193C1D">
      <w:pPr>
        <w:jc w:val="both"/>
        <w:rPr>
          <w:bCs/>
        </w:rPr>
      </w:pPr>
      <w:r w:rsidRPr="00193C1D">
        <w:rPr>
          <w:bCs/>
        </w:rPr>
        <w:t xml:space="preserve">- установление законности, полноты и </w:t>
      </w:r>
      <w:proofErr w:type="gramStart"/>
      <w:r w:rsidRPr="00193C1D">
        <w:rPr>
          <w:bCs/>
        </w:rPr>
        <w:t>достоверности</w:t>
      </w:r>
      <w:proofErr w:type="gramEnd"/>
      <w:r w:rsidRPr="00193C1D">
        <w:rPr>
          <w:bCs/>
        </w:rPr>
        <w:t xml:space="preserve"> представленных в составе отчета об исполнении местного бюджета документов и материалов;</w:t>
      </w:r>
    </w:p>
    <w:p w:rsidR="00193C1D" w:rsidRPr="00193C1D" w:rsidRDefault="00193C1D" w:rsidP="00193C1D">
      <w:pPr>
        <w:jc w:val="both"/>
        <w:rPr>
          <w:bCs/>
        </w:rPr>
      </w:pPr>
      <w:r w:rsidRPr="00193C1D">
        <w:rPr>
          <w:bCs/>
        </w:rPr>
        <w:t>- 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193C1D" w:rsidRPr="00193C1D" w:rsidRDefault="00193C1D" w:rsidP="00193C1D">
      <w:pPr>
        <w:jc w:val="both"/>
        <w:rPr>
          <w:bCs/>
        </w:rPr>
      </w:pPr>
      <w:r w:rsidRPr="00193C1D">
        <w:rPr>
          <w:bCs/>
        </w:rPr>
        <w:t xml:space="preserve">- определение полноты исполнения бюджета по объему и структуре доходов, своевременности и полноты исполнения расходных обязательств бюджета </w:t>
      </w:r>
      <w:proofErr w:type="spellStart"/>
      <w:r w:rsidRPr="00193C1D">
        <w:rPr>
          <w:bCs/>
        </w:rPr>
        <w:t>Балахнинского</w:t>
      </w:r>
      <w:proofErr w:type="spellEnd"/>
      <w:r w:rsidRPr="00193C1D">
        <w:rPr>
          <w:bCs/>
        </w:rPr>
        <w:t xml:space="preserve"> муниципального округа за отчетный финансовый год;</w:t>
      </w:r>
    </w:p>
    <w:p w:rsidR="00193C1D" w:rsidRPr="00193C1D" w:rsidRDefault="00193C1D" w:rsidP="00193C1D">
      <w:pPr>
        <w:jc w:val="both"/>
        <w:rPr>
          <w:bCs/>
        </w:rPr>
      </w:pPr>
      <w:r w:rsidRPr="00193C1D">
        <w:rPr>
          <w:bCs/>
        </w:rPr>
        <w:t>- определение законности и обоснованности источников финансирования дефицита местного бюджета;</w:t>
      </w:r>
    </w:p>
    <w:p w:rsidR="00193C1D" w:rsidRPr="00193C1D" w:rsidRDefault="00193C1D" w:rsidP="00193C1D">
      <w:pPr>
        <w:jc w:val="both"/>
        <w:rPr>
          <w:bCs/>
        </w:rPr>
      </w:pPr>
      <w:r w:rsidRPr="00193C1D">
        <w:rPr>
          <w:bCs/>
        </w:rPr>
        <w:t xml:space="preserve">- проверка соблюдения бюджетного законодательства при исполнении бюджета. </w:t>
      </w:r>
    </w:p>
    <w:p w:rsidR="00EC3038" w:rsidRDefault="00F71AE7" w:rsidP="00193C1D">
      <w:pPr>
        <w:jc w:val="both"/>
        <w:rPr>
          <w:b/>
          <w:szCs w:val="24"/>
        </w:rPr>
      </w:pPr>
      <w:r w:rsidRPr="0043309E">
        <w:rPr>
          <w:bCs/>
          <w:lang w:eastAsia="ru-RU"/>
        </w:rPr>
        <w:t xml:space="preserve"> </w:t>
      </w:r>
      <w:r w:rsidR="00031FD4" w:rsidRPr="0043309E">
        <w:rPr>
          <w:b/>
          <w:szCs w:val="24"/>
        </w:rPr>
        <w:t xml:space="preserve">В результате проведенного мероприятия установлено: </w:t>
      </w:r>
    </w:p>
    <w:p w:rsidR="006016F1" w:rsidRDefault="006016F1" w:rsidP="006016F1">
      <w:pPr>
        <w:tabs>
          <w:tab w:val="left" w:pos="851"/>
          <w:tab w:val="left" w:pos="993"/>
        </w:tabs>
        <w:ind w:right="-1"/>
        <w:jc w:val="both"/>
        <w:rPr>
          <w:szCs w:val="24"/>
        </w:rPr>
      </w:pPr>
      <w:r w:rsidRPr="002B63BC">
        <w:rPr>
          <w:szCs w:val="24"/>
        </w:rPr>
        <w:t xml:space="preserve">В соответствии со статьей 264.4 Бюджетного кодекса Российской Федерации годовой отчет об исполнении бюджета до его рассмотрения на Совете депутатов </w:t>
      </w:r>
      <w:proofErr w:type="spellStart"/>
      <w:r w:rsidRPr="002B63BC">
        <w:rPr>
          <w:szCs w:val="24"/>
        </w:rPr>
        <w:t>Балахнинского</w:t>
      </w:r>
      <w:proofErr w:type="spellEnd"/>
      <w:r w:rsidRPr="002B63BC">
        <w:rPr>
          <w:szCs w:val="24"/>
        </w:rPr>
        <w:t xml:space="preserve"> муниципального округа Нижегородской области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 </w:t>
      </w:r>
    </w:p>
    <w:p w:rsidR="006016F1" w:rsidRDefault="006016F1" w:rsidP="006016F1">
      <w:pPr>
        <w:tabs>
          <w:tab w:val="left" w:pos="851"/>
          <w:tab w:val="left" w:pos="993"/>
        </w:tabs>
        <w:ind w:right="-1" w:firstLine="709"/>
        <w:jc w:val="both"/>
        <w:rPr>
          <w:szCs w:val="24"/>
        </w:rPr>
      </w:pPr>
      <w:proofErr w:type="gramStart"/>
      <w:r w:rsidRPr="002B63BC">
        <w:rPr>
          <w:szCs w:val="24"/>
        </w:rPr>
        <w:t xml:space="preserve">Годовой отчет об исполнении бюджета </w:t>
      </w:r>
      <w:proofErr w:type="spellStart"/>
      <w:r w:rsidRPr="002B63BC">
        <w:rPr>
          <w:szCs w:val="24"/>
        </w:rPr>
        <w:t>Балахнинского</w:t>
      </w:r>
      <w:proofErr w:type="spellEnd"/>
      <w:r w:rsidRPr="002B63BC">
        <w:rPr>
          <w:szCs w:val="24"/>
        </w:rPr>
        <w:t xml:space="preserve"> муниципального округа за 2023 год и бюджетная отчетность за 2023 год представлены в Контрольно-счетную палату </w:t>
      </w:r>
      <w:proofErr w:type="spellStart"/>
      <w:r w:rsidRPr="002B63BC">
        <w:rPr>
          <w:szCs w:val="24"/>
        </w:rPr>
        <w:t>Балахнинского</w:t>
      </w:r>
      <w:proofErr w:type="spellEnd"/>
      <w:r w:rsidRPr="002B63BC">
        <w:rPr>
          <w:szCs w:val="24"/>
        </w:rPr>
        <w:t xml:space="preserve"> муниципального округа в сроки, установленные статьей 264.4 Бюджетного кодекса Российской Федерации не позднее 1 апреля 2024 года. </w:t>
      </w:r>
      <w:proofErr w:type="gramEnd"/>
    </w:p>
    <w:p w:rsidR="006016F1" w:rsidRDefault="006016F1" w:rsidP="006016F1">
      <w:pPr>
        <w:tabs>
          <w:tab w:val="left" w:pos="851"/>
          <w:tab w:val="left" w:pos="993"/>
        </w:tabs>
        <w:ind w:right="-1" w:firstLine="709"/>
        <w:jc w:val="both"/>
        <w:rPr>
          <w:szCs w:val="24"/>
        </w:rPr>
      </w:pPr>
      <w:r>
        <w:rPr>
          <w:szCs w:val="24"/>
        </w:rPr>
        <w:t xml:space="preserve">Подготовка заключения на годовой отчет об исполнении бюджета </w:t>
      </w:r>
      <w:proofErr w:type="spellStart"/>
      <w:r>
        <w:rPr>
          <w:szCs w:val="24"/>
        </w:rPr>
        <w:t>Балахнинского</w:t>
      </w:r>
      <w:proofErr w:type="spellEnd"/>
      <w:r>
        <w:rPr>
          <w:szCs w:val="24"/>
        </w:rPr>
        <w:t xml:space="preserve"> муниципального округа Нижегородской области осуществлялась с использованием результатов внешней проверки отчётности 7 главных администраторов бюджетных средств. </w:t>
      </w:r>
    </w:p>
    <w:p w:rsidR="006016F1" w:rsidRDefault="006016F1" w:rsidP="006016F1">
      <w:pPr>
        <w:tabs>
          <w:tab w:val="left" w:pos="851"/>
          <w:tab w:val="left" w:pos="993"/>
        </w:tabs>
        <w:ind w:right="-1" w:firstLine="709"/>
        <w:jc w:val="both"/>
        <w:rPr>
          <w:szCs w:val="24"/>
        </w:rPr>
      </w:pPr>
      <w:r>
        <w:rPr>
          <w:szCs w:val="24"/>
        </w:rPr>
        <w:t xml:space="preserve">В ходе внешней проверки бюджетной отчетности главных распорядителей бюджетных средств выявлены отдельные нарушения и недостатки, которые отражены в соответствующих заключениях. </w:t>
      </w:r>
    </w:p>
    <w:p w:rsidR="006016F1" w:rsidRPr="00215CF4" w:rsidRDefault="006016F1" w:rsidP="006016F1">
      <w:pPr>
        <w:suppressAutoHyphens/>
        <w:ind w:firstLine="709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Главным распорядителям бюджетных сре</w:t>
      </w:r>
      <w:proofErr w:type="gramStart"/>
      <w:r>
        <w:rPr>
          <w:szCs w:val="24"/>
        </w:rPr>
        <w:t>дств пр</w:t>
      </w:r>
      <w:proofErr w:type="gramEnd"/>
      <w:r>
        <w:rPr>
          <w:szCs w:val="24"/>
        </w:rPr>
        <w:t xml:space="preserve">едложено </w:t>
      </w:r>
      <w:r>
        <w:rPr>
          <w:rFonts w:eastAsia="Calibri"/>
          <w:szCs w:val="24"/>
          <w:lang w:eastAsia="en-US"/>
        </w:rPr>
        <w:t>п</w:t>
      </w:r>
      <w:r w:rsidRPr="00215CF4">
        <w:rPr>
          <w:rFonts w:eastAsia="Calibri"/>
          <w:szCs w:val="24"/>
          <w:lang w:eastAsia="en-US"/>
        </w:rPr>
        <w:t xml:space="preserve">ринять к сведению замечания по порядку составления и представления годовой бюджетной отчетности и по ведению бухгалтерского учета, указанные </w:t>
      </w:r>
      <w:r>
        <w:rPr>
          <w:rFonts w:eastAsia="Calibri"/>
          <w:szCs w:val="24"/>
          <w:lang w:eastAsia="en-US"/>
        </w:rPr>
        <w:t xml:space="preserve">в </w:t>
      </w:r>
      <w:r w:rsidRPr="00215CF4">
        <w:rPr>
          <w:rFonts w:eastAsia="Calibri"/>
          <w:szCs w:val="24"/>
          <w:lang w:eastAsia="en-US"/>
        </w:rPr>
        <w:t>Заключени</w:t>
      </w:r>
      <w:r>
        <w:rPr>
          <w:rFonts w:eastAsia="Calibri"/>
          <w:szCs w:val="24"/>
          <w:lang w:eastAsia="en-US"/>
        </w:rPr>
        <w:t>ях Контрольно-счётной палаты</w:t>
      </w:r>
      <w:r w:rsidRPr="00215CF4">
        <w:rPr>
          <w:rFonts w:eastAsia="Calibri"/>
          <w:szCs w:val="24"/>
          <w:lang w:eastAsia="en-US"/>
        </w:rPr>
        <w:t xml:space="preserve"> и исключить повторное их нарушение.</w:t>
      </w:r>
    </w:p>
    <w:p w:rsidR="006016F1" w:rsidRPr="00DA280F" w:rsidRDefault="006016F1" w:rsidP="006016F1">
      <w:pPr>
        <w:ind w:right="-1" w:firstLine="720"/>
        <w:jc w:val="both"/>
      </w:pPr>
      <w:r w:rsidRPr="00DA280F">
        <w:t xml:space="preserve">Фактическое исполнение бюджета </w:t>
      </w:r>
      <w:proofErr w:type="spellStart"/>
      <w:r w:rsidRPr="00DA280F">
        <w:t>Балахнинского</w:t>
      </w:r>
      <w:proofErr w:type="spellEnd"/>
      <w:r w:rsidRPr="00DA280F">
        <w:t xml:space="preserve"> муниципального округа за 2023 год составило:</w:t>
      </w:r>
    </w:p>
    <w:p w:rsidR="006016F1" w:rsidRPr="00DA280F" w:rsidRDefault="006016F1" w:rsidP="006016F1">
      <w:pPr>
        <w:ind w:right="-1" w:firstLine="720"/>
        <w:jc w:val="both"/>
      </w:pPr>
      <w:r w:rsidRPr="00DA280F">
        <w:t>- по доходам – 2 896 094,1 тыс. рублей или 98,8 % от уточненного бюджета (2 931 600,2 тыс. руб.),</w:t>
      </w:r>
    </w:p>
    <w:p w:rsidR="006016F1" w:rsidRPr="00DA280F" w:rsidRDefault="006016F1" w:rsidP="006016F1">
      <w:pPr>
        <w:ind w:right="-1" w:firstLine="720"/>
        <w:jc w:val="both"/>
      </w:pPr>
      <w:r w:rsidRPr="00DA280F">
        <w:t>- по расходам – </w:t>
      </w:r>
      <w:r w:rsidRPr="00DA280F">
        <w:rPr>
          <w:szCs w:val="24"/>
        </w:rPr>
        <w:t>3 001 037,9</w:t>
      </w:r>
      <w:r w:rsidRPr="00DA280F">
        <w:rPr>
          <w:sz w:val="20"/>
        </w:rPr>
        <w:t xml:space="preserve"> </w:t>
      </w:r>
      <w:r w:rsidRPr="00DA280F">
        <w:t>тыс. рублей или 97,0 % от уточненного бюджета (3 093 831,9 тыс. руб.).</w:t>
      </w:r>
    </w:p>
    <w:p w:rsidR="006016F1" w:rsidRPr="00DA280F" w:rsidRDefault="006016F1" w:rsidP="006016F1">
      <w:pPr>
        <w:ind w:right="-1" w:firstLine="720"/>
        <w:jc w:val="both"/>
      </w:pPr>
      <w:r w:rsidRPr="00DA280F">
        <w:t xml:space="preserve">Бюджет </w:t>
      </w:r>
      <w:proofErr w:type="spellStart"/>
      <w:r w:rsidRPr="00DA280F">
        <w:t>Балахнинского</w:t>
      </w:r>
      <w:proofErr w:type="spellEnd"/>
      <w:r w:rsidRPr="00DA280F">
        <w:t xml:space="preserve"> муниципального округа исполнен с дефицитом в сумме 104 943,8 тыс. рублей.</w:t>
      </w:r>
    </w:p>
    <w:p w:rsidR="006016F1" w:rsidRPr="00DA280F" w:rsidRDefault="006016F1" w:rsidP="006016F1">
      <w:pPr>
        <w:ind w:right="-1" w:firstLine="720"/>
        <w:jc w:val="both"/>
      </w:pPr>
      <w:r w:rsidRPr="00DA280F">
        <w:t xml:space="preserve">Утвержденные бюджетные назначения по доходам, расходам бюджета, указанные в  Отчете об исполнении бюджета (ф. 0503117), больше плановых назначений уточненного бюджета на общую сумму </w:t>
      </w:r>
      <w:r>
        <w:t>6 229,6</w:t>
      </w:r>
      <w:r w:rsidRPr="00DA280F">
        <w:t xml:space="preserve"> тыс. рублей.</w:t>
      </w:r>
    </w:p>
    <w:p w:rsidR="006016F1" w:rsidRPr="00F35A7D" w:rsidRDefault="006016F1" w:rsidP="006016F1">
      <w:pPr>
        <w:tabs>
          <w:tab w:val="left" w:pos="851"/>
          <w:tab w:val="left" w:pos="993"/>
        </w:tabs>
        <w:ind w:right="-1" w:firstLine="709"/>
        <w:jc w:val="both"/>
        <w:rPr>
          <w:szCs w:val="24"/>
        </w:rPr>
      </w:pPr>
      <w:r w:rsidRPr="00F35A7D">
        <w:rPr>
          <w:szCs w:val="24"/>
        </w:rPr>
        <w:lastRenderedPageBreak/>
        <w:t xml:space="preserve">Бюджет </w:t>
      </w:r>
      <w:proofErr w:type="spellStart"/>
      <w:r w:rsidRPr="00F35A7D">
        <w:rPr>
          <w:szCs w:val="24"/>
        </w:rPr>
        <w:t>Балахнинского</w:t>
      </w:r>
      <w:proofErr w:type="spellEnd"/>
      <w:r w:rsidRPr="00F35A7D">
        <w:rPr>
          <w:szCs w:val="24"/>
        </w:rPr>
        <w:t xml:space="preserve"> муниципального округа по доходам с учетом безвозмездных поступлений от бюджетов других уровней исполнен на сумму </w:t>
      </w:r>
      <w:r w:rsidRPr="00F35A7D">
        <w:t xml:space="preserve">2 896 094,1 тыс. рублей или 98,8 % </w:t>
      </w:r>
      <w:r w:rsidRPr="00F35A7D">
        <w:rPr>
          <w:szCs w:val="24"/>
        </w:rPr>
        <w:t xml:space="preserve"> от установленных плановых назначений. </w:t>
      </w:r>
    </w:p>
    <w:p w:rsidR="006016F1" w:rsidRPr="006016F1" w:rsidRDefault="006016F1" w:rsidP="006016F1">
      <w:pPr>
        <w:ind w:firstLine="720"/>
        <w:jc w:val="both"/>
      </w:pPr>
      <w:r w:rsidRPr="00F35A7D">
        <w:t xml:space="preserve">Доходная часть бюджета </w:t>
      </w:r>
      <w:proofErr w:type="spellStart"/>
      <w:r w:rsidRPr="00F35A7D">
        <w:t>Балахнинского</w:t>
      </w:r>
      <w:proofErr w:type="spellEnd"/>
      <w:r w:rsidRPr="00F35A7D">
        <w:t xml:space="preserve"> муниципального округа в 2023 году </w:t>
      </w:r>
      <w:r w:rsidRPr="006016F1">
        <w:t xml:space="preserve">исполнена </w:t>
      </w:r>
      <w:proofErr w:type="gramStart"/>
      <w:r w:rsidRPr="006016F1">
        <w:t>по</w:t>
      </w:r>
      <w:proofErr w:type="gramEnd"/>
      <w:r w:rsidRPr="006016F1">
        <w:t>:</w:t>
      </w:r>
    </w:p>
    <w:p w:rsidR="006016F1" w:rsidRPr="006016F1" w:rsidRDefault="006016F1" w:rsidP="006016F1">
      <w:pPr>
        <w:ind w:firstLine="720"/>
        <w:jc w:val="both"/>
      </w:pPr>
      <w:r w:rsidRPr="006016F1">
        <w:t xml:space="preserve">- Налоговым доходам в сумме 900 521,8 тыс. рублей (103,7 % к уточненному бюджету) или 31,1 % от общего объема доходов поступивших в бюджет муниципального округа. </w:t>
      </w:r>
    </w:p>
    <w:p w:rsidR="006016F1" w:rsidRPr="006016F1" w:rsidRDefault="006016F1" w:rsidP="006016F1">
      <w:pPr>
        <w:ind w:firstLine="720"/>
        <w:jc w:val="both"/>
      </w:pPr>
      <w:r w:rsidRPr="006016F1">
        <w:t xml:space="preserve">- Неналоговым доходам в сумме 125 646,9 тыс. рублей (84,4 % к уточненному бюджету) или 4,3 % от общего объема доходов бюджета. </w:t>
      </w:r>
    </w:p>
    <w:p w:rsidR="006016F1" w:rsidRPr="006016F1" w:rsidRDefault="006016F1" w:rsidP="006016F1">
      <w:pPr>
        <w:ind w:firstLine="720"/>
        <w:jc w:val="both"/>
      </w:pPr>
      <w:r w:rsidRPr="006016F1">
        <w:t>- Безвозмездным поступлениям (с учетом возврата остатков) в сумме 1 869 925,4 тыс. рублей (97,7 % к уточненному бюджету) или 64,6 % от общего объема доходов бюджета.</w:t>
      </w:r>
      <w:bookmarkStart w:id="0" w:name="_GoBack"/>
      <w:bookmarkEnd w:id="0"/>
    </w:p>
    <w:p w:rsidR="006016F1" w:rsidRPr="003F0DED" w:rsidRDefault="006016F1" w:rsidP="006016F1">
      <w:pPr>
        <w:ind w:firstLine="720"/>
        <w:jc w:val="both"/>
        <w:rPr>
          <w:szCs w:val="24"/>
        </w:rPr>
      </w:pPr>
      <w:proofErr w:type="gramStart"/>
      <w:r w:rsidRPr="003F0DED">
        <w:rPr>
          <w:szCs w:val="24"/>
        </w:rPr>
        <w:t xml:space="preserve">Финансирование расходов </w:t>
      </w:r>
      <w:proofErr w:type="spellStart"/>
      <w:r w:rsidRPr="003F0DED">
        <w:rPr>
          <w:szCs w:val="24"/>
        </w:rPr>
        <w:t>Балахнинского</w:t>
      </w:r>
      <w:proofErr w:type="spellEnd"/>
      <w:r w:rsidRPr="003F0DED">
        <w:rPr>
          <w:szCs w:val="24"/>
        </w:rPr>
        <w:t xml:space="preserve"> муниципального округа осуществлялось за счет собственных доходов, средств, полученных из федерального и областного бюджетов в виде межбюджетных трансфертов</w:t>
      </w:r>
      <w:r>
        <w:rPr>
          <w:szCs w:val="24"/>
        </w:rPr>
        <w:t xml:space="preserve">, а также иных источников. </w:t>
      </w:r>
      <w:proofErr w:type="gramEnd"/>
    </w:p>
    <w:p w:rsidR="006016F1" w:rsidRPr="005656B9" w:rsidRDefault="006016F1" w:rsidP="006016F1">
      <w:pPr>
        <w:ind w:right="-1" w:firstLine="720"/>
        <w:jc w:val="both"/>
      </w:pPr>
      <w:r w:rsidRPr="0049102D">
        <w:t xml:space="preserve">В 2023 году расходы </w:t>
      </w:r>
      <w:proofErr w:type="spellStart"/>
      <w:r w:rsidRPr="0049102D">
        <w:t>Балахнинского</w:t>
      </w:r>
      <w:proofErr w:type="spellEnd"/>
      <w:r w:rsidRPr="0049102D">
        <w:t xml:space="preserve"> муниципального округа предусмотрены первоначальным бюджетом в размере 2</w:t>
      </w:r>
      <w:r>
        <w:t> 446 578,9</w:t>
      </w:r>
      <w:r w:rsidRPr="0049102D">
        <w:t xml:space="preserve"> тыс. рублей, уточненным – 3 093 831,9 тыс. рублей, по сводной бюджетной росписи округа по состоянию на 31.12.2023 года плановые расходы предусмотрены в размере 3 100 061,5 тыс. рублей.</w:t>
      </w:r>
      <w:r w:rsidRPr="00927F90">
        <w:rPr>
          <w:color w:val="FF0000"/>
        </w:rPr>
        <w:t xml:space="preserve"> </w:t>
      </w:r>
      <w:r w:rsidRPr="005656B9">
        <w:t>Исполнение согласно ф. 0503117 составило 3 001 037,9 тыс. рублей или 96,8 % к плану</w:t>
      </w:r>
      <w:r>
        <w:t>,</w:t>
      </w:r>
      <w:r w:rsidRPr="005656B9">
        <w:t xml:space="preserve"> утвержденному сводной бюджетной росписью расходов (3 100 061,5тыс. руб.).</w:t>
      </w:r>
    </w:p>
    <w:p w:rsidR="006016F1" w:rsidRPr="001C597A" w:rsidRDefault="006016F1" w:rsidP="006016F1">
      <w:pPr>
        <w:ind w:firstLine="720"/>
        <w:jc w:val="both"/>
        <w:rPr>
          <w:szCs w:val="24"/>
        </w:rPr>
      </w:pPr>
      <w:r w:rsidRPr="00795D6D">
        <w:rPr>
          <w:szCs w:val="24"/>
        </w:rPr>
        <w:t>Анализ</w:t>
      </w:r>
      <w:r w:rsidRPr="001C597A">
        <w:rPr>
          <w:szCs w:val="24"/>
        </w:rPr>
        <w:t xml:space="preserve"> исполнения расходной части бюджета муниципального округа показал:</w:t>
      </w:r>
    </w:p>
    <w:p w:rsidR="006016F1" w:rsidRPr="001C597A" w:rsidRDefault="006016F1" w:rsidP="006016F1">
      <w:pPr>
        <w:ind w:firstLine="720"/>
        <w:jc w:val="both"/>
        <w:rPr>
          <w:szCs w:val="24"/>
        </w:rPr>
      </w:pPr>
      <w:r w:rsidRPr="001C597A">
        <w:rPr>
          <w:szCs w:val="24"/>
        </w:rPr>
        <w:t>- наибольшую долю – 51,9 % (1 556 449,2 тыс. руб.) в общем объеме исполненных расходов (</w:t>
      </w:r>
      <w:r w:rsidRPr="001C597A">
        <w:rPr>
          <w:bCs/>
          <w:szCs w:val="24"/>
        </w:rPr>
        <w:t xml:space="preserve">3 001 037,9 </w:t>
      </w:r>
      <w:r w:rsidRPr="001C597A">
        <w:rPr>
          <w:szCs w:val="24"/>
        </w:rPr>
        <w:t>тыс. руб.) составили расходы по разделу «Образование»;</w:t>
      </w:r>
    </w:p>
    <w:p w:rsidR="006016F1" w:rsidRPr="002A1A49" w:rsidRDefault="006016F1" w:rsidP="006016F1">
      <w:pPr>
        <w:ind w:firstLine="720"/>
        <w:jc w:val="both"/>
        <w:rPr>
          <w:szCs w:val="24"/>
        </w:rPr>
      </w:pPr>
      <w:r w:rsidRPr="002A1A49">
        <w:rPr>
          <w:szCs w:val="24"/>
        </w:rPr>
        <w:t>- значительную долю расходов бюджета муниципального округа составили расходы по разделу</w:t>
      </w:r>
      <w:r w:rsidRPr="002A1A49">
        <w:rPr>
          <w:rFonts w:eastAsia="Calibri"/>
          <w:szCs w:val="24"/>
          <w:lang w:eastAsia="en-US"/>
        </w:rPr>
        <w:t xml:space="preserve"> </w:t>
      </w:r>
      <w:r w:rsidRPr="002A1A49">
        <w:rPr>
          <w:szCs w:val="24"/>
        </w:rPr>
        <w:t>«Жилищно-коммунальное хозяйство» - 13,3 % (397 721,5 тыс. руб.),</w:t>
      </w:r>
      <w:r w:rsidRPr="002A1A49">
        <w:rPr>
          <w:rFonts w:eastAsia="Calibri"/>
          <w:szCs w:val="24"/>
          <w:lang w:eastAsia="en-US"/>
        </w:rPr>
        <w:t xml:space="preserve"> </w:t>
      </w:r>
      <w:r w:rsidRPr="002A1A49">
        <w:rPr>
          <w:szCs w:val="24"/>
        </w:rPr>
        <w:t>«Культура и кинематография» - 11,3% (339 170,5 тыс. руб.), «</w:t>
      </w:r>
      <w:r w:rsidRPr="002A1A49">
        <w:rPr>
          <w:bCs/>
          <w:szCs w:val="24"/>
        </w:rPr>
        <w:t>Общегосударственные вопросы</w:t>
      </w:r>
      <w:r w:rsidRPr="002A1A49">
        <w:rPr>
          <w:szCs w:val="24"/>
        </w:rPr>
        <w:t>» - 9,9 % (296 785,1 тыс. руб.).</w:t>
      </w:r>
    </w:p>
    <w:p w:rsidR="006016F1" w:rsidRPr="00795D6D" w:rsidRDefault="006016F1" w:rsidP="006016F1">
      <w:pPr>
        <w:ind w:firstLine="720"/>
        <w:jc w:val="both"/>
        <w:rPr>
          <w:szCs w:val="24"/>
        </w:rPr>
      </w:pPr>
      <w:r w:rsidRPr="00795D6D">
        <w:rPr>
          <w:szCs w:val="24"/>
        </w:rPr>
        <w:t xml:space="preserve">В соответствии с ведомственной структурой расходов бюджета </w:t>
      </w:r>
      <w:proofErr w:type="spellStart"/>
      <w:r w:rsidRPr="00795D6D">
        <w:rPr>
          <w:szCs w:val="24"/>
        </w:rPr>
        <w:t>Балахнинского</w:t>
      </w:r>
      <w:proofErr w:type="spellEnd"/>
      <w:r w:rsidRPr="00795D6D">
        <w:rPr>
          <w:szCs w:val="24"/>
        </w:rPr>
        <w:t xml:space="preserve"> муниципального округа в 2023 году исполнение расходов осуществлялось семью главными распорядителями бюджетных средств: </w:t>
      </w:r>
    </w:p>
    <w:p w:rsidR="006016F1" w:rsidRPr="00BA248C" w:rsidRDefault="006016F1" w:rsidP="006016F1">
      <w:pPr>
        <w:tabs>
          <w:tab w:val="left" w:pos="993"/>
        </w:tabs>
        <w:ind w:firstLine="709"/>
        <w:jc w:val="both"/>
        <w:rPr>
          <w:szCs w:val="24"/>
        </w:rPr>
      </w:pPr>
      <w:r w:rsidRPr="00795D6D">
        <w:rPr>
          <w:szCs w:val="24"/>
        </w:rPr>
        <w:t>1)</w:t>
      </w:r>
      <w:r w:rsidRPr="00795D6D">
        <w:rPr>
          <w:szCs w:val="24"/>
        </w:rPr>
        <w:tab/>
        <w:t>Финансовым управлением, расходы по которому исполнены в сумме</w:t>
      </w:r>
      <w:r w:rsidRPr="00927F90">
        <w:rPr>
          <w:color w:val="FF0000"/>
          <w:szCs w:val="24"/>
        </w:rPr>
        <w:t xml:space="preserve"> </w:t>
      </w:r>
      <w:r w:rsidRPr="00BA248C">
        <w:rPr>
          <w:szCs w:val="24"/>
        </w:rPr>
        <w:t>83 750,5 тыс. рублей или 99,8 % от доведенных бюджетных ассигнований (83 877,8 тыс. рублей);</w:t>
      </w:r>
    </w:p>
    <w:p w:rsidR="006016F1" w:rsidRPr="00BA248C" w:rsidRDefault="006016F1" w:rsidP="006016F1">
      <w:pPr>
        <w:tabs>
          <w:tab w:val="left" w:pos="851"/>
          <w:tab w:val="left" w:pos="993"/>
        </w:tabs>
        <w:ind w:firstLine="709"/>
        <w:jc w:val="both"/>
        <w:rPr>
          <w:szCs w:val="24"/>
        </w:rPr>
      </w:pPr>
      <w:r w:rsidRPr="00795D6D">
        <w:rPr>
          <w:szCs w:val="24"/>
        </w:rPr>
        <w:t>2)</w:t>
      </w:r>
      <w:r w:rsidRPr="00795D6D">
        <w:rPr>
          <w:szCs w:val="24"/>
        </w:rPr>
        <w:tab/>
        <w:t>Отдел</w:t>
      </w:r>
      <w:r>
        <w:rPr>
          <w:szCs w:val="24"/>
        </w:rPr>
        <w:t>ом</w:t>
      </w:r>
      <w:r w:rsidRPr="00795D6D">
        <w:rPr>
          <w:szCs w:val="24"/>
        </w:rPr>
        <w:t xml:space="preserve"> культуры и туризма, расходы по которому исполнены в сумме</w:t>
      </w:r>
      <w:r w:rsidRPr="00927F90">
        <w:rPr>
          <w:color w:val="FF0000"/>
          <w:szCs w:val="24"/>
        </w:rPr>
        <w:t xml:space="preserve"> </w:t>
      </w:r>
      <w:r w:rsidRPr="00BA248C">
        <w:rPr>
          <w:szCs w:val="24"/>
        </w:rPr>
        <w:t>301 252,3 тыс. рублей или 99,9 % от доведенных бюджетных ассигнований (301 339,</w:t>
      </w:r>
      <w:r>
        <w:rPr>
          <w:szCs w:val="24"/>
        </w:rPr>
        <w:t>6</w:t>
      </w:r>
      <w:r w:rsidRPr="00BA248C">
        <w:rPr>
          <w:szCs w:val="24"/>
        </w:rPr>
        <w:t xml:space="preserve"> тыс. рублей);</w:t>
      </w:r>
    </w:p>
    <w:p w:rsidR="006016F1" w:rsidRPr="00BA248C" w:rsidRDefault="006016F1" w:rsidP="006016F1">
      <w:pPr>
        <w:tabs>
          <w:tab w:val="left" w:pos="993"/>
        </w:tabs>
        <w:ind w:firstLine="709"/>
        <w:jc w:val="both"/>
        <w:rPr>
          <w:szCs w:val="24"/>
        </w:rPr>
      </w:pPr>
      <w:r w:rsidRPr="00BA248C">
        <w:rPr>
          <w:szCs w:val="24"/>
        </w:rPr>
        <w:t>3)</w:t>
      </w:r>
      <w:r w:rsidRPr="00BA248C">
        <w:rPr>
          <w:szCs w:val="24"/>
        </w:rPr>
        <w:tab/>
        <w:t xml:space="preserve">Управлением образования и социально-правовой защиты детства, расходы по которому исполнены в сумме 1 491 538,1 тыс. рублей или 98,4 % от доведенных бюджетных ассигнований (1 515 140,8 тыс. рублей); </w:t>
      </w:r>
    </w:p>
    <w:p w:rsidR="006016F1" w:rsidRPr="00BA248C" w:rsidRDefault="006016F1" w:rsidP="006016F1">
      <w:pPr>
        <w:tabs>
          <w:tab w:val="left" w:pos="993"/>
        </w:tabs>
        <w:ind w:firstLine="709"/>
        <w:jc w:val="both"/>
        <w:rPr>
          <w:szCs w:val="24"/>
        </w:rPr>
      </w:pPr>
      <w:r w:rsidRPr="00BA248C">
        <w:rPr>
          <w:szCs w:val="24"/>
        </w:rPr>
        <w:t>4)</w:t>
      </w:r>
      <w:r w:rsidRPr="00BA248C">
        <w:rPr>
          <w:szCs w:val="24"/>
        </w:rPr>
        <w:tab/>
        <w:t>Управлением сельского хозяйства, расходы по которому исполнены в сумме 17 916,8 тыс. рублей или 100,0 % от доведенных бюджетных ассигнований (17 916,8 тыс. рублей);</w:t>
      </w:r>
    </w:p>
    <w:p w:rsidR="006016F1" w:rsidRPr="00C40AE6" w:rsidRDefault="006016F1" w:rsidP="006016F1">
      <w:pPr>
        <w:tabs>
          <w:tab w:val="left" w:pos="709"/>
          <w:tab w:val="left" w:pos="993"/>
        </w:tabs>
        <w:ind w:firstLine="709"/>
        <w:jc w:val="both"/>
        <w:rPr>
          <w:szCs w:val="24"/>
        </w:rPr>
      </w:pPr>
      <w:r w:rsidRPr="00C40AE6">
        <w:rPr>
          <w:szCs w:val="24"/>
        </w:rPr>
        <w:t>5)</w:t>
      </w:r>
      <w:r w:rsidRPr="00C40AE6">
        <w:rPr>
          <w:szCs w:val="24"/>
        </w:rPr>
        <w:tab/>
        <w:t xml:space="preserve"> Советом депутатов, расходы по которому исполнены в сумме 16 975,1 тыс. рублей или 99,7 % от доведенных бюджетных ассигнований (17 024,6 тыс. рублей);</w:t>
      </w:r>
    </w:p>
    <w:p w:rsidR="006016F1" w:rsidRPr="00C40AE6" w:rsidRDefault="006016F1" w:rsidP="006016F1">
      <w:pPr>
        <w:tabs>
          <w:tab w:val="left" w:pos="851"/>
          <w:tab w:val="left" w:pos="993"/>
        </w:tabs>
        <w:ind w:firstLine="709"/>
        <w:jc w:val="both"/>
        <w:rPr>
          <w:szCs w:val="24"/>
        </w:rPr>
      </w:pPr>
      <w:r w:rsidRPr="00C40AE6">
        <w:rPr>
          <w:szCs w:val="24"/>
        </w:rPr>
        <w:t>6)</w:t>
      </w:r>
      <w:r w:rsidRPr="00C40AE6">
        <w:rPr>
          <w:szCs w:val="24"/>
        </w:rPr>
        <w:tab/>
        <w:t xml:space="preserve">Администрацией </w:t>
      </w:r>
      <w:proofErr w:type="spellStart"/>
      <w:r w:rsidRPr="00C40AE6">
        <w:rPr>
          <w:szCs w:val="24"/>
        </w:rPr>
        <w:t>Балахнинского</w:t>
      </w:r>
      <w:proofErr w:type="spellEnd"/>
      <w:r w:rsidRPr="00C40AE6">
        <w:rPr>
          <w:szCs w:val="24"/>
        </w:rPr>
        <w:t xml:space="preserve"> муниципального округа, расходы по которой исполнены в сумме 1 083 026,9 тыс. рублей или 93,5 % от доведенных бюджетных ассигнований (1 158 179,</w:t>
      </w:r>
      <w:r>
        <w:rPr>
          <w:szCs w:val="24"/>
        </w:rPr>
        <w:t>9</w:t>
      </w:r>
      <w:r w:rsidRPr="00C40AE6">
        <w:rPr>
          <w:szCs w:val="24"/>
        </w:rPr>
        <w:t xml:space="preserve"> тыс. рублей);</w:t>
      </w:r>
    </w:p>
    <w:p w:rsidR="006016F1" w:rsidRPr="00C40AE6" w:rsidRDefault="006016F1" w:rsidP="006016F1">
      <w:pPr>
        <w:tabs>
          <w:tab w:val="left" w:pos="993"/>
        </w:tabs>
        <w:ind w:firstLine="709"/>
        <w:jc w:val="both"/>
        <w:rPr>
          <w:szCs w:val="24"/>
        </w:rPr>
      </w:pPr>
      <w:r w:rsidRPr="00C40AE6">
        <w:rPr>
          <w:szCs w:val="24"/>
        </w:rPr>
        <w:t xml:space="preserve">7) </w:t>
      </w:r>
      <w:proofErr w:type="spellStart"/>
      <w:r w:rsidRPr="00C40AE6">
        <w:rPr>
          <w:szCs w:val="24"/>
        </w:rPr>
        <w:t>Контрольно</w:t>
      </w:r>
      <w:proofErr w:type="spellEnd"/>
      <w:r w:rsidRPr="00C40AE6">
        <w:rPr>
          <w:szCs w:val="24"/>
        </w:rPr>
        <w:t xml:space="preserve"> - счетной палатой, расходы по которой исполнены в сумме 6 578,3 тыс. рублей или 99,9 % от доведенных бюджетных ассигнований (6 582,0 тыс. рублей).</w:t>
      </w:r>
    </w:p>
    <w:p w:rsidR="006016F1" w:rsidRPr="00632C74" w:rsidRDefault="006016F1" w:rsidP="006016F1">
      <w:pPr>
        <w:suppressAutoHyphens/>
        <w:ind w:firstLine="601"/>
        <w:jc w:val="both"/>
        <w:rPr>
          <w:szCs w:val="24"/>
          <w:lang w:eastAsia="ru-RU"/>
        </w:rPr>
      </w:pPr>
      <w:r w:rsidRPr="00C40AE6">
        <w:rPr>
          <w:szCs w:val="24"/>
          <w:lang w:eastAsia="ru-RU"/>
        </w:rPr>
        <w:t xml:space="preserve">Оценка полноты и достоверности бюджетной отчетности во всех существенных </w:t>
      </w:r>
      <w:r w:rsidRPr="00632C74">
        <w:rPr>
          <w:szCs w:val="24"/>
          <w:lang w:eastAsia="ru-RU"/>
        </w:rPr>
        <w:t>отношениях проводилась на выборочной основе.</w:t>
      </w:r>
    </w:p>
    <w:p w:rsidR="006016F1" w:rsidRPr="00C40AE6" w:rsidRDefault="006016F1" w:rsidP="006016F1">
      <w:pPr>
        <w:autoSpaceDE w:val="0"/>
        <w:autoSpaceDN w:val="0"/>
        <w:adjustRightInd w:val="0"/>
        <w:jc w:val="both"/>
        <w:rPr>
          <w:szCs w:val="24"/>
        </w:rPr>
      </w:pPr>
      <w:r w:rsidRPr="00C40AE6">
        <w:rPr>
          <w:szCs w:val="24"/>
        </w:rPr>
        <w:lastRenderedPageBreak/>
        <w:t xml:space="preserve">В соответствии с Отчетом по исполнению муниципальных программ за 2023 год общий объем бюджетных ассигнований на реализацию муниципальных программ утвержден в сумме 2 622 204,7 тыс. рублей, что составляет 84,6 % от общего объема расходов бюджета </w:t>
      </w:r>
      <w:proofErr w:type="spellStart"/>
      <w:r w:rsidRPr="00C40AE6">
        <w:rPr>
          <w:szCs w:val="24"/>
        </w:rPr>
        <w:t>Балахнинского</w:t>
      </w:r>
      <w:proofErr w:type="spellEnd"/>
      <w:r w:rsidRPr="00C40AE6">
        <w:rPr>
          <w:szCs w:val="24"/>
        </w:rPr>
        <w:t xml:space="preserve"> муниципального округа (3 100 061,5 тыс. руб.). Исполнение программных расходов составило 2 565 533,7 тыс. рублей или 97,8 % от плановых назначений, утвержденных сводной бюджетной росписью. </w:t>
      </w:r>
    </w:p>
    <w:p w:rsidR="006016F1" w:rsidRPr="00492487" w:rsidRDefault="006016F1" w:rsidP="006016F1">
      <w:pPr>
        <w:autoSpaceDE w:val="0"/>
        <w:autoSpaceDN w:val="0"/>
        <w:adjustRightInd w:val="0"/>
        <w:ind w:right="-1" w:firstLine="720"/>
        <w:jc w:val="both"/>
        <w:rPr>
          <w:szCs w:val="24"/>
        </w:rPr>
      </w:pPr>
      <w:proofErr w:type="gramStart"/>
      <w:r w:rsidRPr="00B03DC1">
        <w:rPr>
          <w:szCs w:val="24"/>
        </w:rPr>
        <w:t>В объеме менее чем на 35</w:t>
      </w:r>
      <w:r>
        <w:rPr>
          <w:szCs w:val="24"/>
        </w:rPr>
        <w:t>,0</w:t>
      </w:r>
      <w:r w:rsidRPr="00B03DC1">
        <w:rPr>
          <w:szCs w:val="24"/>
        </w:rPr>
        <w:t xml:space="preserve"> % профинансированы в 2023 году мероприятия Муниципальной программы "Развитие эффективности градостроительной деятельности на территории </w:t>
      </w:r>
      <w:proofErr w:type="spellStart"/>
      <w:r w:rsidRPr="00B03DC1">
        <w:rPr>
          <w:szCs w:val="24"/>
        </w:rPr>
        <w:t>Балахнинского</w:t>
      </w:r>
      <w:proofErr w:type="spellEnd"/>
      <w:r w:rsidRPr="00B03DC1">
        <w:rPr>
          <w:szCs w:val="24"/>
        </w:rPr>
        <w:t xml:space="preserve"> муниципального округа Нижегородской области" исполнена на 34,8 % (</w:t>
      </w:r>
      <w:r w:rsidRPr="00B03DC1">
        <w:rPr>
          <w:bCs/>
          <w:szCs w:val="24"/>
        </w:rPr>
        <w:t xml:space="preserve">245,9 </w:t>
      </w:r>
      <w:r w:rsidRPr="00B03DC1">
        <w:rPr>
          <w:szCs w:val="24"/>
        </w:rPr>
        <w:t>тыс. рублей).</w:t>
      </w:r>
      <w:proofErr w:type="gramEnd"/>
      <w:r w:rsidRPr="00B03DC1">
        <w:rPr>
          <w:szCs w:val="24"/>
        </w:rPr>
        <w:t xml:space="preserve"> </w:t>
      </w:r>
      <w:r>
        <w:rPr>
          <w:szCs w:val="24"/>
        </w:rPr>
        <w:t>По остальным муниципальным программам исполнение составило от 91,4 до 100,0 %.</w:t>
      </w:r>
    </w:p>
    <w:p w:rsidR="006016F1" w:rsidRPr="00A52C09" w:rsidRDefault="006016F1" w:rsidP="006016F1">
      <w:pPr>
        <w:autoSpaceDE w:val="0"/>
        <w:autoSpaceDN w:val="0"/>
        <w:adjustRightInd w:val="0"/>
        <w:ind w:right="-1" w:firstLine="720"/>
        <w:jc w:val="both"/>
        <w:rPr>
          <w:szCs w:val="24"/>
        </w:rPr>
      </w:pPr>
      <w:r w:rsidRPr="00A52C09">
        <w:rPr>
          <w:szCs w:val="24"/>
        </w:rPr>
        <w:t xml:space="preserve">Бюджет </w:t>
      </w:r>
      <w:proofErr w:type="spellStart"/>
      <w:r w:rsidRPr="00A52C09">
        <w:rPr>
          <w:szCs w:val="24"/>
        </w:rPr>
        <w:t>Балахнинского</w:t>
      </w:r>
      <w:proofErr w:type="spellEnd"/>
      <w:r w:rsidRPr="00A52C09">
        <w:rPr>
          <w:szCs w:val="24"/>
        </w:rPr>
        <w:t xml:space="preserve"> муниципального округа за 2023 год исполнен с дефицитом в сумме </w:t>
      </w:r>
      <w:r w:rsidRPr="00A52C09">
        <w:rPr>
          <w:szCs w:val="24"/>
          <w:lang w:eastAsia="ru-RU"/>
        </w:rPr>
        <w:t xml:space="preserve">104 943,9 </w:t>
      </w:r>
      <w:r w:rsidRPr="00A52C09">
        <w:rPr>
          <w:szCs w:val="24"/>
        </w:rPr>
        <w:t xml:space="preserve">тыс. рублей при запланированном дефиците в сумме 162 231,7 тыс. рублей.  </w:t>
      </w:r>
    </w:p>
    <w:p w:rsidR="006016F1" w:rsidRPr="00492487" w:rsidRDefault="006016F1" w:rsidP="006016F1">
      <w:pPr>
        <w:autoSpaceDE w:val="0"/>
        <w:autoSpaceDN w:val="0"/>
        <w:adjustRightInd w:val="0"/>
        <w:ind w:right="-1" w:firstLine="720"/>
        <w:jc w:val="both"/>
        <w:rPr>
          <w:szCs w:val="24"/>
        </w:rPr>
      </w:pPr>
      <w:r w:rsidRPr="00A52C09">
        <w:rPr>
          <w:szCs w:val="24"/>
        </w:rPr>
        <w:t xml:space="preserve">Бюджет </w:t>
      </w:r>
      <w:proofErr w:type="spellStart"/>
      <w:r w:rsidRPr="00A52C09">
        <w:rPr>
          <w:szCs w:val="24"/>
        </w:rPr>
        <w:t>Балахнинского</w:t>
      </w:r>
      <w:proofErr w:type="spellEnd"/>
      <w:r w:rsidRPr="00A52C09">
        <w:rPr>
          <w:szCs w:val="24"/>
        </w:rPr>
        <w:t xml:space="preserve"> муниципального округа за 2022 год исполнен с профицитом в сумме 25 852,6 тыс</w:t>
      </w:r>
      <w:r w:rsidRPr="00492487">
        <w:rPr>
          <w:szCs w:val="24"/>
        </w:rPr>
        <w:t xml:space="preserve">. рублей при запланированном дефиците в сумме 77 364,1 тыс. рублей.  </w:t>
      </w:r>
    </w:p>
    <w:p w:rsidR="006016F1" w:rsidRPr="00DA7868" w:rsidRDefault="006016F1" w:rsidP="006016F1">
      <w:pPr>
        <w:ind w:right="-1" w:firstLine="720"/>
        <w:jc w:val="both"/>
        <w:rPr>
          <w:szCs w:val="24"/>
        </w:rPr>
      </w:pPr>
      <w:r w:rsidRPr="00DA7868">
        <w:rPr>
          <w:szCs w:val="24"/>
        </w:rPr>
        <w:t xml:space="preserve">Муниципальный долг округа по данным Долговой книги </w:t>
      </w:r>
      <w:proofErr w:type="spellStart"/>
      <w:r w:rsidRPr="00DA7868">
        <w:rPr>
          <w:szCs w:val="24"/>
        </w:rPr>
        <w:t>Балахнинского</w:t>
      </w:r>
      <w:proofErr w:type="spellEnd"/>
      <w:r w:rsidRPr="00DA7868">
        <w:rPr>
          <w:szCs w:val="24"/>
        </w:rPr>
        <w:t xml:space="preserve"> муниципального округа Нижегородской области на 1 января 2023 года составил </w:t>
      </w:r>
      <w:r w:rsidRPr="00DA7868">
        <w:rPr>
          <w:szCs w:val="24"/>
          <w:lang w:eastAsia="ru-RU"/>
        </w:rPr>
        <w:t>210 000,0 тыс. рублей за счет</w:t>
      </w:r>
      <w:r w:rsidRPr="00DA7868">
        <w:rPr>
          <w:szCs w:val="24"/>
        </w:rPr>
        <w:t xml:space="preserve"> кредитов коммерческих банков</w:t>
      </w:r>
      <w:r>
        <w:rPr>
          <w:szCs w:val="24"/>
        </w:rPr>
        <w:t xml:space="preserve"> в сумме 150 000,0 тыс. рублей и бюджетного кредита в сумме 60 000,0 тыс. рублей</w:t>
      </w:r>
      <w:r w:rsidRPr="00DA7868">
        <w:rPr>
          <w:szCs w:val="24"/>
        </w:rPr>
        <w:t>.</w:t>
      </w:r>
    </w:p>
    <w:p w:rsidR="006016F1" w:rsidRPr="00DA7868" w:rsidRDefault="006016F1" w:rsidP="006016F1">
      <w:pPr>
        <w:ind w:right="-1" w:firstLine="720"/>
        <w:jc w:val="both"/>
        <w:rPr>
          <w:szCs w:val="24"/>
        </w:rPr>
      </w:pPr>
      <w:r w:rsidRPr="00DA7868">
        <w:rPr>
          <w:szCs w:val="24"/>
        </w:rPr>
        <w:t xml:space="preserve">Всего привлечено в 2023 году кредитов коммерческих банков 150 000,0 тыс. рублей, бюджетный кредит привлечен в сумме 11 000,0 тыс. рублей, погашено 211 000,0 тыс. рублей -  кредиты коммерческих банков. </w:t>
      </w:r>
    </w:p>
    <w:p w:rsidR="006016F1" w:rsidRPr="00DA7868" w:rsidRDefault="006016F1" w:rsidP="006016F1">
      <w:pPr>
        <w:ind w:right="-1" w:firstLine="720"/>
        <w:jc w:val="both"/>
        <w:rPr>
          <w:szCs w:val="24"/>
        </w:rPr>
      </w:pPr>
      <w:r w:rsidRPr="00DA7868">
        <w:rPr>
          <w:szCs w:val="24"/>
        </w:rPr>
        <w:t>В результате исполнения бюджета округа муниципальный долг на 1 января 2024 года составил 160 000,0 тыс. рублей, в том числе за счет кредита коммерческих банков – 89 000,0</w:t>
      </w:r>
      <w:r>
        <w:rPr>
          <w:szCs w:val="24"/>
        </w:rPr>
        <w:t> </w:t>
      </w:r>
      <w:r w:rsidRPr="00DA7868">
        <w:rPr>
          <w:szCs w:val="24"/>
        </w:rPr>
        <w:t xml:space="preserve">тыс. рублей, бюджетного кредита – 71 000,0 тыс. рублей. </w:t>
      </w:r>
    </w:p>
    <w:p w:rsidR="006016F1" w:rsidRDefault="006016F1" w:rsidP="006016F1">
      <w:pPr>
        <w:ind w:right="-1" w:firstLine="720"/>
        <w:jc w:val="both"/>
        <w:rPr>
          <w:szCs w:val="24"/>
        </w:rPr>
      </w:pPr>
      <w:r w:rsidRPr="00BA248C">
        <w:rPr>
          <w:szCs w:val="24"/>
        </w:rPr>
        <w:t xml:space="preserve">По сравнению с 2022 годом обслуживание долговых обязательств за 2023 год снизилось на сумму 6 020,3 тыс. рублей и составило 7 129,5 тыс. рублей. За 2022 год обслуживание долговых обязательств составило 13 149,8 тыс. рублей. </w:t>
      </w:r>
    </w:p>
    <w:p w:rsidR="006016F1" w:rsidRPr="00215CF4" w:rsidRDefault="006016F1" w:rsidP="006016F1">
      <w:pPr>
        <w:ind w:right="-1" w:firstLine="720"/>
        <w:jc w:val="both"/>
        <w:rPr>
          <w:b/>
          <w:szCs w:val="24"/>
        </w:rPr>
      </w:pPr>
      <w:r w:rsidRPr="00215CF4">
        <w:rPr>
          <w:b/>
          <w:szCs w:val="24"/>
        </w:rPr>
        <w:t>Рекомендации:</w:t>
      </w:r>
    </w:p>
    <w:p w:rsidR="006016F1" w:rsidRPr="00215CF4" w:rsidRDefault="006016F1" w:rsidP="006016F1">
      <w:pPr>
        <w:ind w:left="20" w:right="-1" w:firstLine="689"/>
        <w:jc w:val="both"/>
        <w:rPr>
          <w:szCs w:val="24"/>
        </w:rPr>
      </w:pPr>
      <w:r w:rsidRPr="00215CF4">
        <w:rPr>
          <w:szCs w:val="24"/>
        </w:rPr>
        <w:t>1. Главным распорядителям бюджетных средств, у которых установлены недостатки по предоставлению годовых форм отчётности, внести изменения, уточнения и дополнения в формы отчетности.</w:t>
      </w:r>
    </w:p>
    <w:p w:rsidR="006016F1" w:rsidRPr="00215CF4" w:rsidRDefault="006016F1" w:rsidP="006016F1">
      <w:pPr>
        <w:ind w:left="20" w:right="-1" w:firstLine="689"/>
        <w:jc w:val="both"/>
        <w:rPr>
          <w:szCs w:val="24"/>
        </w:rPr>
      </w:pPr>
      <w:r w:rsidRPr="00215CF4">
        <w:rPr>
          <w:szCs w:val="24"/>
        </w:rPr>
        <w:t xml:space="preserve">Не допускать нарушений Инструкции о порядке составления и представления годовой, квартальной и месячной отчетности об исполнении бюджетов бюджетной системы РФ при составлении годовой бюджетной отчетности, утвержденной Приказом Минфина России от 28.12.2010 № 191н. </w:t>
      </w:r>
    </w:p>
    <w:p w:rsidR="006016F1" w:rsidRPr="00215CF4" w:rsidRDefault="006016F1" w:rsidP="006016F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Pr="00215CF4">
        <w:rPr>
          <w:color w:val="auto"/>
        </w:rPr>
        <w:t>. </w:t>
      </w:r>
      <w:proofErr w:type="gramStart"/>
      <w:r w:rsidRPr="00215CF4">
        <w:rPr>
          <w:color w:val="auto"/>
        </w:rPr>
        <w:t>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от 28.10.2010 № 191н (с изменениями),</w:t>
      </w:r>
      <w:r w:rsidRPr="00215CF4">
        <w:rPr>
          <w:rFonts w:eastAsia="Times New Roman"/>
          <w:color w:val="auto"/>
        </w:rPr>
        <w:t xml:space="preserve"> для подведомственных учреждений - </w:t>
      </w:r>
      <w:r w:rsidRPr="00215CF4">
        <w:rPr>
          <w:color w:val="auto"/>
        </w:rPr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</w:t>
      </w:r>
      <w:proofErr w:type="gramEnd"/>
      <w:r w:rsidRPr="00215CF4">
        <w:rPr>
          <w:color w:val="auto"/>
        </w:rPr>
        <w:t xml:space="preserve"> приказом Минфина России от 25.03.2011 № 33н (с изменениями).</w:t>
      </w:r>
    </w:p>
    <w:p w:rsidR="006016F1" w:rsidRPr="00927F90" w:rsidRDefault="006016F1" w:rsidP="006016F1">
      <w:pPr>
        <w:pStyle w:val="Default"/>
        <w:ind w:firstLine="709"/>
        <w:jc w:val="both"/>
        <w:rPr>
          <w:color w:val="FF0000"/>
        </w:rPr>
      </w:pPr>
    </w:p>
    <w:p w:rsidR="00611E3C" w:rsidRPr="009B3F77" w:rsidRDefault="00611E3C" w:rsidP="003C5DEE">
      <w:pPr>
        <w:pStyle w:val="a3"/>
        <w:jc w:val="both"/>
        <w:rPr>
          <w:b/>
          <w:color w:val="7030A0"/>
          <w:szCs w:val="24"/>
        </w:rPr>
      </w:pPr>
    </w:p>
    <w:sectPr w:rsidR="00611E3C" w:rsidRPr="009B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93C1D"/>
    <w:rsid w:val="00196192"/>
    <w:rsid w:val="001A2BD3"/>
    <w:rsid w:val="001A5955"/>
    <w:rsid w:val="001B2EE1"/>
    <w:rsid w:val="001B3420"/>
    <w:rsid w:val="001F5DBD"/>
    <w:rsid w:val="0020494B"/>
    <w:rsid w:val="00206036"/>
    <w:rsid w:val="00227CFC"/>
    <w:rsid w:val="0027475E"/>
    <w:rsid w:val="00286CD9"/>
    <w:rsid w:val="00291C28"/>
    <w:rsid w:val="00292526"/>
    <w:rsid w:val="002A271C"/>
    <w:rsid w:val="002D4E0E"/>
    <w:rsid w:val="0030136F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16B3"/>
    <w:rsid w:val="003F6005"/>
    <w:rsid w:val="00417AC5"/>
    <w:rsid w:val="0042191C"/>
    <w:rsid w:val="0043309E"/>
    <w:rsid w:val="00433132"/>
    <w:rsid w:val="00446579"/>
    <w:rsid w:val="004578FE"/>
    <w:rsid w:val="0046275F"/>
    <w:rsid w:val="00494655"/>
    <w:rsid w:val="004951BD"/>
    <w:rsid w:val="004E5E3B"/>
    <w:rsid w:val="005012FF"/>
    <w:rsid w:val="00516BF7"/>
    <w:rsid w:val="005176E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9792A"/>
    <w:rsid w:val="005A0CDC"/>
    <w:rsid w:val="005A690D"/>
    <w:rsid w:val="005B0AC7"/>
    <w:rsid w:val="005B2B38"/>
    <w:rsid w:val="005B5510"/>
    <w:rsid w:val="005C0598"/>
    <w:rsid w:val="005E2028"/>
    <w:rsid w:val="005F0259"/>
    <w:rsid w:val="005F0606"/>
    <w:rsid w:val="005F0E2E"/>
    <w:rsid w:val="006016F1"/>
    <w:rsid w:val="00605BFE"/>
    <w:rsid w:val="006104EE"/>
    <w:rsid w:val="00611E3C"/>
    <w:rsid w:val="006230A2"/>
    <w:rsid w:val="00625714"/>
    <w:rsid w:val="00676CE0"/>
    <w:rsid w:val="0068226B"/>
    <w:rsid w:val="00691CEE"/>
    <w:rsid w:val="00693F17"/>
    <w:rsid w:val="0069569B"/>
    <w:rsid w:val="00696F51"/>
    <w:rsid w:val="006A366B"/>
    <w:rsid w:val="006C2699"/>
    <w:rsid w:val="006C4A66"/>
    <w:rsid w:val="006D35BF"/>
    <w:rsid w:val="006D62BA"/>
    <w:rsid w:val="006F2173"/>
    <w:rsid w:val="006F4EA1"/>
    <w:rsid w:val="00704A5C"/>
    <w:rsid w:val="00706761"/>
    <w:rsid w:val="00713027"/>
    <w:rsid w:val="00714212"/>
    <w:rsid w:val="00720E21"/>
    <w:rsid w:val="00743658"/>
    <w:rsid w:val="00764434"/>
    <w:rsid w:val="007657FC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42437"/>
    <w:rsid w:val="00954D83"/>
    <w:rsid w:val="009838C1"/>
    <w:rsid w:val="009B06DA"/>
    <w:rsid w:val="009B3F77"/>
    <w:rsid w:val="009C5271"/>
    <w:rsid w:val="009D0AD4"/>
    <w:rsid w:val="009E25D7"/>
    <w:rsid w:val="009F0ACC"/>
    <w:rsid w:val="009F5D62"/>
    <w:rsid w:val="009F78FA"/>
    <w:rsid w:val="00A0009B"/>
    <w:rsid w:val="00A01ED5"/>
    <w:rsid w:val="00A14217"/>
    <w:rsid w:val="00A1553C"/>
    <w:rsid w:val="00A165AD"/>
    <w:rsid w:val="00A22465"/>
    <w:rsid w:val="00A27EC3"/>
    <w:rsid w:val="00A33C83"/>
    <w:rsid w:val="00A66EB6"/>
    <w:rsid w:val="00A8509A"/>
    <w:rsid w:val="00A85D3D"/>
    <w:rsid w:val="00AA0468"/>
    <w:rsid w:val="00AC0D57"/>
    <w:rsid w:val="00AE0C3C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267F2"/>
    <w:rsid w:val="00C6123D"/>
    <w:rsid w:val="00C63AEA"/>
    <w:rsid w:val="00C70763"/>
    <w:rsid w:val="00C828B1"/>
    <w:rsid w:val="00C84E2A"/>
    <w:rsid w:val="00C9392D"/>
    <w:rsid w:val="00C9582F"/>
    <w:rsid w:val="00C96349"/>
    <w:rsid w:val="00C96F89"/>
    <w:rsid w:val="00C979F0"/>
    <w:rsid w:val="00CA5C1A"/>
    <w:rsid w:val="00CB3E14"/>
    <w:rsid w:val="00CC48F4"/>
    <w:rsid w:val="00CD1522"/>
    <w:rsid w:val="00CF23C3"/>
    <w:rsid w:val="00D26319"/>
    <w:rsid w:val="00D72063"/>
    <w:rsid w:val="00D80B16"/>
    <w:rsid w:val="00D9753E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566DD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ED6E3B"/>
    <w:rsid w:val="00F0761D"/>
    <w:rsid w:val="00F12D6F"/>
    <w:rsid w:val="00F2599C"/>
    <w:rsid w:val="00F43133"/>
    <w:rsid w:val="00F436F5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D685F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2024-07-02T10:20:00Z</dcterms:created>
  <dcterms:modified xsi:type="dcterms:W3CDTF">2024-07-02T10:47:00Z</dcterms:modified>
</cp:coreProperties>
</file>