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46" w:rsidRDefault="00D203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61E46" w:rsidRDefault="00D203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861E46" w:rsidRDefault="00D2036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61E46" w:rsidRDefault="00861E4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61E46" w:rsidRDefault="00D203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61E46" w:rsidRDefault="00861E46">
      <w:pPr>
        <w:ind w:firstLine="0"/>
        <w:jc w:val="center"/>
        <w:rPr>
          <w:rFonts w:eastAsia="Times New Roman"/>
          <w:b/>
          <w:lang w:eastAsia="ru-RU"/>
        </w:rPr>
      </w:pPr>
    </w:p>
    <w:p w:rsidR="00861E46" w:rsidRDefault="00D2036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proofErr w:type="spellStart"/>
      <w:r>
        <w:rPr>
          <w:rFonts w:eastAsia="Times New Roman"/>
          <w:lang w:eastAsia="ru-RU"/>
        </w:rPr>
        <w:t>11.11.2021г</w:t>
      </w:r>
      <w:proofErr w:type="spellEnd"/>
      <w:r>
        <w:rPr>
          <w:rFonts w:eastAsia="Times New Roman"/>
          <w:lang w:eastAsia="ru-RU"/>
        </w:rPr>
        <w:t>. № 2103</w:t>
      </w:r>
    </w:p>
    <w:p w:rsidR="00861E46" w:rsidRDefault="00861E4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61E46" w:rsidRDefault="00D2036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О прогнозе социально-экономического развития Балахнинского муниципального округа Нижегородской области на среднесрочный период (на 2022 год и на плановый период 2023 и 2024 годы)</w:t>
      </w:r>
    </w:p>
    <w:p w:rsidR="00861E46" w:rsidRDefault="00861E46">
      <w:pPr>
        <w:ind w:firstLine="0"/>
        <w:jc w:val="center"/>
        <w:rPr>
          <w:b/>
          <w:szCs w:val="24"/>
        </w:rPr>
      </w:pPr>
      <w:bookmarkStart w:id="0" w:name="_GoBack"/>
      <w:bookmarkEnd w:id="0"/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статьей 173 </w:t>
      </w:r>
      <w:hyperlink r:id="rId9" w:tooltip="Бюджетный кодекс Российской Федерации (с изменениями на 15 июля 2021 года)" w:history="1">
        <w:r w:rsidRPr="00290F2B">
          <w:rPr>
            <w:rStyle w:val="a4"/>
            <w:rFonts w:eastAsia="Times New Roman"/>
            <w:color w:val="auto"/>
            <w:szCs w:val="24"/>
            <w:u w:val="none"/>
            <w:lang w:eastAsia="ru-RU"/>
          </w:rPr>
          <w:t>Бюджетного кодекса Российской Федерации</w:t>
        </w:r>
      </w:hyperlink>
      <w:r w:rsidRPr="00290F2B"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 xml:space="preserve">Законом Нижегородской области от 03 марта 2015 года N 24-З «О стратегическом планировании в Нижегородской области», в целях формирования бюджета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Одобрить прилагаемый прогноз социально-экономического развития Балахнинского муниципального округа на среднесрочный период (на 2022 год и на плановый период 2023 и 2024 годы) (далее - прогноз).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Отделу экономики, предпринимательства и инвестиционной политики администрации Балахнинского муниципального округа Нижегородской области, курирующего данное направление, ежеквартально осуществлять мониторинг реализации прогноза.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Финансовому управлению администрации Балахнинского муниципального округа Нижегородской области направить одобренный прогноз с проектом бюджета Балахнинского муниципального округа Нижегородской области на среднесрочный период (на 2022 год и на плановый период 2023 и 2024 годы) в Совет депутатов Балахнинского муниципального округа Нижегородской области.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имущественно-земельным отношениям (</w:t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861E46" w:rsidRDefault="00861E46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861E46" w:rsidRDefault="00861E46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861E46" w:rsidRDefault="00D2036D">
      <w:pPr>
        <w:tabs>
          <w:tab w:val="right" w:pos="0"/>
          <w:tab w:val="left" w:pos="708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861E46" w:rsidRDefault="00861E46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861E46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861E46" w:rsidRDefault="00D2036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lastRenderedPageBreak/>
        <w:t>Одобрен</w:t>
      </w:r>
    </w:p>
    <w:p w:rsidR="00861E46" w:rsidRDefault="00D2036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t xml:space="preserve"> постановлением администрации </w:t>
      </w:r>
    </w:p>
    <w:p w:rsidR="00861E46" w:rsidRDefault="00D2036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t xml:space="preserve"> Балахнинского муниципального</w:t>
      </w:r>
    </w:p>
    <w:p w:rsidR="00861E46" w:rsidRDefault="00D2036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округа Нижегородской области</w:t>
      </w:r>
    </w:p>
    <w:p w:rsidR="00861E46" w:rsidRDefault="00D2036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t xml:space="preserve"> от 11.11.2021 № 2103 </w:t>
      </w:r>
    </w:p>
    <w:p w:rsidR="00861E46" w:rsidRDefault="00861E4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861E46" w:rsidRDefault="00861E46">
      <w:pPr>
        <w:ind w:firstLine="0"/>
        <w:jc w:val="center"/>
        <w:rPr>
          <w:rFonts w:eastAsia="Times New Roman"/>
          <w:color w:val="FF0000"/>
          <w:sz w:val="28"/>
          <w:szCs w:val="24"/>
          <w:lang w:eastAsia="ru-RU"/>
        </w:rPr>
      </w:pPr>
    </w:p>
    <w:p w:rsidR="00861E46" w:rsidRDefault="00D2036D">
      <w:pPr>
        <w:autoSpaceDE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Прогноз социально-экономического развития Балахнинского муниципального округа на среднесрочный период </w:t>
      </w:r>
      <w:r>
        <w:rPr>
          <w:rFonts w:eastAsia="Times New Roman"/>
          <w:b/>
          <w:sz w:val="28"/>
          <w:szCs w:val="28"/>
          <w:lang w:eastAsia="ru-RU"/>
        </w:rPr>
        <w:t>(на 2022 год и на плановый период 2023 и 2024 годы)</w:t>
      </w:r>
    </w:p>
    <w:p w:rsidR="00861E46" w:rsidRDefault="00861E46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861E46" w:rsidRDefault="00D2036D">
      <w:pPr>
        <w:autoSpaceDE w:val="0"/>
        <w:adjustRightInd w:val="0"/>
        <w:ind w:firstLine="567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Прогноз социально-экономического развития Балахнинского муниципального округа на среднесрочный период (на 2022 год и на плановый период 2023 и 2024 годы) (далее – Прогноз) разработан в соответствии с макроэкономическими пропорциями развития Нижегородской области и методическими указаниями Министерства экономического развития и инвестиций Нижегородской области от 24.05.2021 года №50. </w:t>
      </w:r>
    </w:p>
    <w:p w:rsidR="00861E46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Информационная база формирования прогноза:</w:t>
      </w:r>
    </w:p>
    <w:p w:rsidR="00861E46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данные статистического учета за 2020 год и 1 полугодие 2021 года;</w:t>
      </w:r>
    </w:p>
    <w:p w:rsidR="00861E46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сложившаяся в районе социально-экономическая ситуация;</w:t>
      </w:r>
    </w:p>
    <w:p w:rsidR="00861E46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прогноз крупных и средних предприятий, расположенных на территории Балахнинского муниципального округа Нижегородской области;</w:t>
      </w:r>
    </w:p>
    <w:p w:rsidR="00861E46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реализации инвестиционных проектов крупных и средних предприятий.</w:t>
      </w:r>
    </w:p>
    <w:p w:rsidR="00861E46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Прогноз – сбалансированная система ожидаемых в перспективе показателей социально-экономического развития Балахнинского муниципального округа Нижегородской области, которые используются при принятии конкретных решений в управлении развитием экономики округа.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Прогноз по основным </w:t>
      </w:r>
      <w:proofErr w:type="spellStart"/>
      <w:r>
        <w:rPr>
          <w:rFonts w:eastAsia="Times New Roman"/>
          <w:sz w:val="28"/>
          <w:szCs w:val="28"/>
          <w:lang w:eastAsia="ru-RU"/>
        </w:rPr>
        <w:t>бюджетообразующим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показателям сформирован с учетом намерений крупных и средних предприятий, расположенных на территории Балахнинского муниципального округа Нижегородской области.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Согласованные с Министерством экономического развития и инвестиций Нижегородской области </w:t>
      </w:r>
      <w:proofErr w:type="spellStart"/>
      <w:r>
        <w:rPr>
          <w:rFonts w:eastAsia="Times New Roman"/>
          <w:sz w:val="28"/>
          <w:szCs w:val="28"/>
          <w:lang w:eastAsia="ru-RU"/>
        </w:rPr>
        <w:t>бюджетообразующие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показатели (объем отгрузки, фонд оплаты труда, прибыль прибыльных организаций, розничный товарооборот, амортизационные отчисления) являются основой для формирования бюджета Балахнинского муниципального округа Нижегородской области на среднесрочный период 2022 год и на плановый период 2023 и 2024 годы.</w:t>
      </w:r>
      <w:proofErr w:type="gramEnd"/>
    </w:p>
    <w:p w:rsidR="00861E46" w:rsidRDefault="00861E46">
      <w:pPr>
        <w:ind w:firstLine="567"/>
        <w:jc w:val="left"/>
        <w:rPr>
          <w:rFonts w:eastAsia="Times New Roman"/>
          <w:sz w:val="28"/>
          <w:szCs w:val="28"/>
          <w:lang w:eastAsia="ru-RU"/>
        </w:rPr>
      </w:pPr>
    </w:p>
    <w:p w:rsidR="00861E46" w:rsidRDefault="00D2036D">
      <w:pPr>
        <w:tabs>
          <w:tab w:val="left" w:pos="0"/>
          <w:tab w:val="left" w:pos="900"/>
          <w:tab w:val="left" w:pos="993"/>
          <w:tab w:val="num" w:pos="1418"/>
        </w:tabs>
        <w:ind w:firstLine="567"/>
        <w:jc w:val="left"/>
        <w:rPr>
          <w:rFonts w:eastAsia="Times New Roman"/>
          <w:b/>
          <w:sz w:val="28"/>
          <w:szCs w:val="28"/>
          <w:lang w:eastAsia="ru-RU"/>
        </w:rPr>
      </w:pPr>
      <w:bookmarkStart w:id="1" w:name="_Toc270337812"/>
      <w:bookmarkStart w:id="2" w:name="_Toc271878079"/>
      <w:r>
        <w:rPr>
          <w:rFonts w:eastAsia="Times New Roman"/>
          <w:b/>
          <w:sz w:val="28"/>
          <w:szCs w:val="28"/>
          <w:lang w:eastAsia="ru-RU"/>
        </w:rPr>
        <w:t>1. Прогноз социально-экономического развития Балахнинского муниципального округа на среднесрочный период (на 2022 год и на плановый период 2023 и 2024 годы)</w:t>
      </w:r>
    </w:p>
    <w:p w:rsidR="00861E46" w:rsidRDefault="00861E46">
      <w:pPr>
        <w:tabs>
          <w:tab w:val="num" w:pos="0"/>
        </w:tabs>
        <w:ind w:firstLine="567"/>
        <w:jc w:val="left"/>
        <w:rPr>
          <w:rFonts w:eastAsia="Times New Roman"/>
          <w:b/>
          <w:sz w:val="26"/>
          <w:szCs w:val="26"/>
          <w:lang w:eastAsia="ru-RU"/>
        </w:rPr>
      </w:pPr>
    </w:p>
    <w:p w:rsidR="00861E46" w:rsidRDefault="00861E4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61E46" w:rsidRDefault="00861E4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61E46" w:rsidRDefault="00861E46">
      <w:pPr>
        <w:autoSpaceDN/>
        <w:ind w:firstLine="0"/>
        <w:jc w:val="left"/>
        <w:rPr>
          <w:rFonts w:eastAsia="Times New Roman"/>
          <w:b/>
          <w:sz w:val="26"/>
          <w:szCs w:val="26"/>
          <w:lang w:eastAsia="ru-RU"/>
        </w:rPr>
        <w:sectPr w:rsidR="00861E46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861E46" w:rsidRDefault="00D2036D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lastRenderedPageBreak/>
        <w:t xml:space="preserve">Основные </w:t>
      </w:r>
      <w:proofErr w:type="spellStart"/>
      <w:r>
        <w:rPr>
          <w:rFonts w:eastAsia="Times New Roman"/>
          <w:b/>
          <w:sz w:val="26"/>
          <w:szCs w:val="26"/>
          <w:lang w:eastAsia="ru-RU"/>
        </w:rPr>
        <w:t>бюджетообразующие</w:t>
      </w:r>
      <w:proofErr w:type="spellEnd"/>
      <w:r>
        <w:rPr>
          <w:rFonts w:eastAsia="Times New Roman"/>
          <w:b/>
          <w:sz w:val="26"/>
          <w:szCs w:val="26"/>
          <w:lang w:eastAsia="ru-RU"/>
        </w:rPr>
        <w:t xml:space="preserve"> показатели</w:t>
      </w:r>
    </w:p>
    <w:p w:rsidR="00861E46" w:rsidRDefault="00861E4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0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924"/>
        <w:gridCol w:w="897"/>
        <w:gridCol w:w="1014"/>
        <w:gridCol w:w="910"/>
        <w:gridCol w:w="1008"/>
      </w:tblGrid>
      <w:tr w:rsidR="00861E46">
        <w:trPr>
          <w:trHeight w:val="65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Ед. изм.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ru-RU"/>
              </w:rPr>
              <w:t>2020г</w:t>
            </w:r>
            <w:proofErr w:type="spellEnd"/>
            <w:r>
              <w:rPr>
                <w:rFonts w:eastAsia="Times New Roman"/>
                <w:b/>
                <w:sz w:val="22"/>
                <w:lang w:eastAsia="ru-RU"/>
              </w:rPr>
              <w:t>. факт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ru-RU"/>
              </w:rPr>
              <w:t>2021г</w:t>
            </w:r>
            <w:proofErr w:type="spellEnd"/>
            <w:r>
              <w:rPr>
                <w:rFonts w:eastAsia="Times New Roman"/>
                <w:b/>
                <w:sz w:val="22"/>
                <w:lang w:eastAsia="ru-RU"/>
              </w:rPr>
              <w:t>.</w:t>
            </w:r>
          </w:p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оценка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ru-RU"/>
              </w:rPr>
              <w:t>2022г</w:t>
            </w:r>
            <w:proofErr w:type="spellEnd"/>
            <w:r>
              <w:rPr>
                <w:rFonts w:eastAsia="Times New Roman"/>
                <w:b/>
                <w:sz w:val="22"/>
                <w:lang w:eastAsia="ru-RU"/>
              </w:rPr>
              <w:t>.</w:t>
            </w:r>
          </w:p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ru-RU"/>
              </w:rPr>
              <w:t>2023г</w:t>
            </w:r>
            <w:proofErr w:type="spellEnd"/>
            <w:r>
              <w:rPr>
                <w:rFonts w:eastAsia="Times New Roman"/>
                <w:b/>
                <w:sz w:val="22"/>
                <w:lang w:eastAsia="ru-RU"/>
              </w:rPr>
              <w:t>.</w:t>
            </w:r>
          </w:p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ru-RU"/>
              </w:rPr>
              <w:t>2024г</w:t>
            </w:r>
            <w:proofErr w:type="spellEnd"/>
            <w:r>
              <w:rPr>
                <w:rFonts w:eastAsia="Times New Roman"/>
                <w:b/>
                <w:sz w:val="22"/>
                <w:lang w:eastAsia="ru-RU"/>
              </w:rPr>
              <w:t>.</w:t>
            </w:r>
          </w:p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</w:tr>
      <w:tr w:rsidR="00861E46">
        <w:trPr>
          <w:trHeight w:val="8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1.Отгружено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 товаров собственного производства, выполнено работ и услуг собственными силами (по полному кругу предприятий) в действующих ценах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 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26132,48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28 938,78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31433,09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33515,31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35985,33</w:t>
            </w:r>
          </w:p>
        </w:tc>
      </w:tr>
      <w:tr w:rsidR="00861E46">
        <w:trPr>
          <w:trHeight w:val="2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tabs>
                <w:tab w:val="num" w:pos="110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108,62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107,37</w:t>
            </w:r>
          </w:p>
        </w:tc>
      </w:tr>
      <w:tr w:rsidR="00861E46">
        <w:trPr>
          <w:trHeight w:val="108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tabs>
                <w:tab w:val="num" w:pos="110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2.Отгружено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 товаров собственного производства, выполнено работ и услуг собственными силами (по крупным и средним предприятиям)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 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22936,09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25714,32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28086,10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30034,44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32365,22</w:t>
            </w:r>
          </w:p>
        </w:tc>
      </w:tr>
      <w:tr w:rsidR="00861E46">
        <w:trPr>
          <w:trHeight w:hRule="exact" w:val="53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tabs>
                <w:tab w:val="num" w:pos="470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т. ч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i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20058,14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23031,20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25282,50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27102,84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29298,17</w:t>
            </w:r>
          </w:p>
        </w:tc>
      </w:tr>
      <w:tr w:rsidR="00861E46">
        <w:trPr>
          <w:cantSplit/>
          <w:trHeight w:hRule="exact" w:val="15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3.Валовая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 продукция сельского хозяйства (хозяйства всех категорий: сельскохозяйственные предприятия, хозяйства населения, КФХ)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46" w:rsidRDefault="00861E46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61E46" w:rsidRDefault="00861E46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842,10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1035,8</w:t>
            </w:r>
          </w:p>
        </w:tc>
      </w:tr>
      <w:tr w:rsidR="00861E46">
        <w:trPr>
          <w:cantSplit/>
          <w:trHeight w:hRule="exact" w:val="61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том числе валовая продукция сельского хозяйства по сельхозпредприятиям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млн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213,30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256,90</w:t>
            </w:r>
          </w:p>
        </w:tc>
      </w:tr>
      <w:tr w:rsidR="00861E46">
        <w:trPr>
          <w:cantSplit/>
          <w:trHeight w:val="46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4. Объем розничного товарооборота (во всех каналах реализации без учета объемов сокрытия)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10108,36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10664,32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11069,56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11512,35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11972,84</w:t>
            </w:r>
          </w:p>
        </w:tc>
      </w:tr>
      <w:tr w:rsidR="00861E46">
        <w:trPr>
          <w:cantSplit/>
          <w:trHeight w:val="56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5. Объем платных услуг по крупным и средним организациям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307,82</w:t>
            </w:r>
          </w:p>
        </w:tc>
      </w:tr>
      <w:tr w:rsidR="00861E46">
        <w:trPr>
          <w:cantSplit/>
          <w:trHeight w:val="578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6. Численность работников по территории, формирующих ФОТ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тыс.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0,732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1,548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21,548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21,548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21,548</w:t>
            </w:r>
          </w:p>
        </w:tc>
      </w:tr>
      <w:tr w:rsidR="00861E46">
        <w:trPr>
          <w:cantSplit/>
          <w:trHeight w:hRule="exact" w:val="572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7. Фонд заработной 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427,72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8272,30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8824,70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9407,10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10028,00</w:t>
            </w:r>
          </w:p>
        </w:tc>
      </w:tr>
      <w:tr w:rsidR="00861E46">
        <w:trPr>
          <w:cantSplit/>
          <w:trHeight w:val="4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113,15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12,74</w:t>
            </w:r>
          </w:p>
        </w:tc>
      </w:tr>
      <w:tr w:rsidR="00861E46">
        <w:trPr>
          <w:cantSplit/>
          <w:trHeight w:val="4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8. Среднемесячная заработная плата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29854,65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9601,27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1991,75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left="-56" w:firstLine="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4128,07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6175,75</w:t>
            </w:r>
          </w:p>
        </w:tc>
      </w:tr>
      <w:tr w:rsidR="00861E46">
        <w:trPr>
          <w:cantSplit/>
          <w:trHeight w:hRule="exact" w:val="3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темп роста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106.6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861E46">
        <w:trPr>
          <w:cantSplit/>
          <w:trHeight w:hRule="exact" w:val="6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9. Реальная заработная плата (всего по району)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101,60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,50</w:t>
            </w:r>
          </w:p>
        </w:tc>
      </w:tr>
      <w:tr w:rsidR="00861E46">
        <w:trPr>
          <w:cantSplit/>
          <w:trHeight w:hRule="exact" w:val="56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10. Прибыль прибыльных организаций,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млн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3 290,12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3 889,87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4 193,28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4 528,74</w:t>
            </w:r>
          </w:p>
        </w:tc>
      </w:tr>
      <w:tr w:rsidR="00861E46">
        <w:trPr>
          <w:cantSplit/>
          <w:trHeight w:val="383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tabs>
                <w:tab w:val="num" w:pos="-69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11. Объем инвестиций в основной капитал (по полному кругу предприятий)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млн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2 348,49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2 507,30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2 758,03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3 031,10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Default="00D2036D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3 322,10</w:t>
            </w:r>
          </w:p>
        </w:tc>
      </w:tr>
    </w:tbl>
    <w:p w:rsidR="00861E46" w:rsidRDefault="00861E46">
      <w:pPr>
        <w:ind w:firstLine="54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61E46" w:rsidRDefault="00861E46">
      <w:pPr>
        <w:autoSpaceDN/>
        <w:ind w:firstLine="0"/>
        <w:jc w:val="left"/>
        <w:rPr>
          <w:rFonts w:eastAsia="Times New Roman"/>
          <w:b/>
          <w:sz w:val="26"/>
          <w:szCs w:val="26"/>
          <w:lang w:eastAsia="ru-RU"/>
        </w:rPr>
        <w:sectPr w:rsidR="00861E46"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861E46" w:rsidRDefault="00D2036D">
      <w:pPr>
        <w:tabs>
          <w:tab w:val="left" w:pos="851"/>
          <w:tab w:val="left" w:pos="993"/>
        </w:tabs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2. Пояснительная записка к прогнозу социально-экономического развития Балахнинского муниципального округа на среднесрочный период (на 2022 год и на плановый период 2023 и 2024 годы)</w:t>
      </w:r>
    </w:p>
    <w:bookmarkEnd w:id="1"/>
    <w:bookmarkEnd w:id="2"/>
    <w:p w:rsidR="00861E46" w:rsidRDefault="00D2036D">
      <w:pPr>
        <w:ind w:firstLine="567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2.1. Предварительные итоги социально-экономического развития Балахнинского муниципального округа за 6 месяцев 2021 года и оценка социально-экономической ситуации до конца 2021 года</w:t>
      </w:r>
    </w:p>
    <w:p w:rsidR="00861E46" w:rsidRDefault="00861E46">
      <w:pPr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 истекший период текущего финансового года (январь-июнь 2021 года) социально-экономическое положение округа характеризуется следующими показателями: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темп роста объема отгруженной продукции по полному кругу предприятий составил 133,6% в действующих ценах к соответствующему периоду прошлого года;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объем инвестиций в основной капитал составил 56,3%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 соответствующему периоду прошлого года;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получено 3 249,17 млн. руб. прибыли предприятиями и организациями округа, что больше по отношению к соответствующему периоду прошлого года на 2 302,66 млн. руб.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Основное увеличение наблюдается у предприятий обрабатывающих производств: 3 247,4 млн. руб. за 6 мес. 2021 г. и 978,0 млн. руб. за 6 мес. 2020 г.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численность работающих по полному кругу предприятий увеличилась на 750 человек или на 1,04% и составила 21 483 человек; </w:t>
      </w:r>
    </w:p>
    <w:p w:rsidR="00861E46" w:rsidRDefault="00D2036D">
      <w:pPr>
        <w:autoSpaceDE w:val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фонд оплаты труда по полному кругу предприятий за январь-июнь 2021 года по сравнению с соответствующим периодом 2020 года увеличился на 13,04% и составил 3 955,15 млн. руб.;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среднемесячная заработная плата одного работающего по полному кругу предприятий за период январь - июнь 2021 года</w:t>
      </w:r>
      <w:proofErr w:type="gramStart"/>
      <w:r>
        <w:rPr>
          <w:rFonts w:eastAsia="Times New Roman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ru-RU"/>
        </w:rPr>
        <w:t>с</w:t>
      </w:r>
      <w:proofErr w:type="gramEnd"/>
      <w:r>
        <w:rPr>
          <w:rFonts w:eastAsia="Times New Roman"/>
          <w:sz w:val="28"/>
          <w:szCs w:val="28"/>
          <w:lang w:eastAsia="ru-RU"/>
        </w:rPr>
        <w:t>оставила 30,69 тыс. руб. (в аналогичном периоде 2020 года – 28,22 тыс. руб.) Темп роста 108,71%;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оборот розничной торговли во всех каналах реализации за 6 месяцев 2021 года сложился на 30,0% выше, чем в аналогичном периоде прошлого года и составил 13 439,16 млн. рублей;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демографическая ситуация следующая: родилось 231 чел. (за аналогичный период 2020 года – 323 чел.); умерло – 763 чел. (аналогичный период 2019 г. – 589 чел.), естественная убыль составила 532 человека;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уровень официально зарегистрированной безработицы на 1 июля 2021 года составил 1,11%, что больше уровня </w:t>
      </w:r>
      <w:proofErr w:type="spellStart"/>
      <w:r>
        <w:rPr>
          <w:rFonts w:eastAsia="Times New Roman"/>
          <w:sz w:val="28"/>
          <w:szCs w:val="28"/>
          <w:lang w:eastAsia="ru-RU"/>
        </w:rPr>
        <w:t>среднеобластного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значения (0,66%). По состоянию на 01.07.2021 года на учете состояло 416 безработных гражданина, против 1 167 человек на аналогичную дату предыдущего года.</w:t>
      </w:r>
    </w:p>
    <w:p w:rsidR="00861E46" w:rsidRDefault="00D2036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Количество вакансий, заявленных работодателями в органы службы занятости, составляет 2 179 человек. </w:t>
      </w:r>
    </w:p>
    <w:p w:rsidR="00861E46" w:rsidRDefault="00D2036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Средняя заработная плата по заявленным вакансиям составляет 28 358 руб.</w:t>
      </w:r>
    </w:p>
    <w:p w:rsidR="00861E46" w:rsidRDefault="00861E46">
      <w:pPr>
        <w:autoSpaceDN/>
        <w:ind w:firstLine="0"/>
        <w:jc w:val="left"/>
        <w:rPr>
          <w:rFonts w:eastAsia="Times New Roman"/>
          <w:sz w:val="28"/>
          <w:szCs w:val="28"/>
          <w:lang w:eastAsia="ru-RU"/>
        </w:rPr>
        <w:sectPr w:rsidR="00861E46"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861E46" w:rsidRDefault="00D2036D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-72390</wp:posOffset>
            </wp:positionV>
            <wp:extent cx="6008370" cy="6191250"/>
            <wp:effectExtent l="3810" t="3810" r="0" b="0"/>
            <wp:wrapNone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sz w:val="28"/>
          <w:szCs w:val="28"/>
          <w:lang w:eastAsia="ru-RU"/>
        </w:rPr>
        <w:t>Структура экономики Балахнинского муниципального округа</w:t>
      </w:r>
    </w:p>
    <w:p w:rsidR="00861E46" w:rsidRDefault="00D2036D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за январь - июнь 2021 года</w:t>
      </w:r>
    </w:p>
    <w:p w:rsidR="00861E46" w:rsidRDefault="00D2036D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 видам экономической деятельности</w:t>
      </w: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61E46" w:rsidRDefault="00861E46">
      <w:pPr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861E46" w:rsidRDefault="00861E46">
      <w:pPr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2021 году экономическая ситуация характеризуется следующими тенденциями: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Наблюдается увеличение объемов отгруженной продукции по отношению к 2020 году и прогнозируется в сумме 28 938,78 млн. руб. с темпом роста в действующих ценах 110,74%;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 Объем отгруженной продукции крупных и средних предприятий по всем видам деятельности прогнозируется в сумме 25 714,32 млн. руб. или 112,11% в действующих ценах к прошлому году;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3. Фонд начисленной заработной платы к концу текущего года планируется в сумме 8 272,30 млн. руб. или 111,37% к 2020 году;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4. Средняя заработная плата в 2021 год прогнозируется в размере 29 601,27 руб.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Согласно показателям для анализа ситуации с занятостью и оплатой труда по Балахнинскому муниципальному округу Нижегородской области за январь – июнь 2021 года среднемесячная заработная плата составляет 30 685,22 рублей.</w:t>
      </w:r>
    </w:p>
    <w:p w:rsidR="00861E46" w:rsidRDefault="00D2036D">
      <w:pPr>
        <w:tabs>
          <w:tab w:val="left" w:pos="0"/>
          <w:tab w:val="left" w:pos="180"/>
          <w:tab w:val="left" w:pos="851"/>
        </w:tabs>
        <w:ind w:firstLine="567"/>
        <w:jc w:val="lef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5. С учетом планов развития предприятий, прогнозируется увеличение объема инвестиций в основной капитал. По оценке 2021 года объем инвестиций составит 2 507,30 млн. руб. (106,76% от 2020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ггода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); </w:t>
      </w:r>
    </w:p>
    <w:p w:rsidR="00861E46" w:rsidRDefault="00D2036D">
      <w:pPr>
        <w:tabs>
          <w:tab w:val="left" w:pos="0"/>
          <w:tab w:val="left" w:pos="851"/>
        </w:tabs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6. При росте заработной платы в действующих ценах, уровень реальной зарплаты по оценке 2021 года останется на уровне 2020 г.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7. На потребительском рынке в 2021 году планируется увеличение объемов розничного товарооборота.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По оценке 2021 года объем розничного товарооборота составит 10 664,32 млн. руб. с темпом роста (в действующих ценах) 105,5%.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8. К концу 2021 года уровень официально зарегистрированной безработицы составит 1,31%, что меньше на 1,23% аналогичного периода 2020 года.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9. Прибыль прибыльных организаций по крупным и средним организациям планируется в сумме 3 632,00 млн. руб. или 110,39% в действующих ценах к прошлому году.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10. По оценке 2021 года объем платных услуг населению по крупным и средним организациям увеличится и составит 243,77 млн. руб., что в действующих ценах выше уровня 2020 года на 3,8%.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11. Численность занятых в экономике в 2021 году оценивается в 28,516 тыс. человек, что выше 2020 года на 0,316 тыс. чел.</w:t>
      </w:r>
      <w:r>
        <w:rPr>
          <w:color w:val="000000"/>
          <w:sz w:val="28"/>
          <w:szCs w:val="28"/>
        </w:rPr>
        <w:t xml:space="preserve"> (28,200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тыс. чел.)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12. По итогам года численность работников, формирующих фонд оплаты труда, увеличится на 4,52% и составит 21,548 тыс. чел. </w:t>
      </w:r>
    </w:p>
    <w:p w:rsidR="00861E46" w:rsidRDefault="00861E46">
      <w:pPr>
        <w:ind w:firstLine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2.2. Прогноз развития Балахнинского муниципального округа на среднесрочный период 2022 год и на плановый период 2023 и 2024 годы</w:t>
      </w:r>
    </w:p>
    <w:p w:rsidR="00861E46" w:rsidRDefault="00D2036D">
      <w:pPr>
        <w:ind w:firstLine="567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2.2.1. Прогноз развития реального сектора экономики</w:t>
      </w:r>
    </w:p>
    <w:p w:rsidR="00861E46" w:rsidRDefault="00861E46">
      <w:pPr>
        <w:ind w:firstLine="567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Промышленность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Прогнозируется, что в среднесрочной перспективе в отраслевой структуре промышленного производства не произойдет существенных изменений. Ситуацию в обрабатывающем производстве, по-прежнему, будут определять три ключевые отрасли: целлюлозно-бумажное производство; производство электрооборудования, электронного и оптического оборудования; производство резиновых и пластмассовых изделий.</w:t>
      </w:r>
    </w:p>
    <w:p w:rsidR="00861E46" w:rsidRDefault="00D2036D">
      <w:pPr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среднесрочный период 2022 год и на плановый период 2023 и 2024 годы прогнозируется незначительный рост объемов отгрузки в действующих ценах.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2022 году планируется рост объемов отгруженной продукции по отношению к 2021 году – и составит 31 433,09 млн. руб. или 108,62%.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2024 году данный показатель планируется в сумме 35 985,33 млн. руб. или 114,5 % к уровню 2022 года.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Объем отгруженной продукции по обрабатывающим производствам в 2022 году прогнозируется на уровне 28 086,10 млн. руб.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Доля отгруженной продукции обрабатывающих произво</w:t>
      </w:r>
      <w:proofErr w:type="gramStart"/>
      <w:r>
        <w:rPr>
          <w:rFonts w:eastAsia="Times New Roman"/>
          <w:sz w:val="28"/>
          <w:szCs w:val="28"/>
          <w:lang w:eastAsia="ru-RU"/>
        </w:rPr>
        <w:t>дств в стр</w:t>
      </w:r>
      <w:proofErr w:type="gramEnd"/>
      <w:r>
        <w:rPr>
          <w:rFonts w:eastAsia="Times New Roman"/>
          <w:sz w:val="28"/>
          <w:szCs w:val="28"/>
          <w:lang w:eastAsia="ru-RU"/>
        </w:rPr>
        <w:t>уктуре экономики за прогнозный период составит (90,1% в 2022 - 2024 годах).</w:t>
      </w:r>
    </w:p>
    <w:p w:rsidR="00861E46" w:rsidRDefault="00D2036D">
      <w:pPr>
        <w:ind w:firstLine="54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Наилучшие показатели отмечаются на предприятиях АО «Волга», ООО «Балахнинская картонная фабрика», ООО «</w:t>
      </w:r>
      <w:proofErr w:type="spellStart"/>
      <w:r>
        <w:rPr>
          <w:rFonts w:eastAsia="Times New Roman"/>
          <w:sz w:val="28"/>
          <w:szCs w:val="28"/>
          <w:lang w:eastAsia="ru-RU"/>
        </w:rPr>
        <w:t>Биаксплен</w:t>
      </w:r>
      <w:proofErr w:type="spellEnd"/>
      <w:r>
        <w:rPr>
          <w:rFonts w:eastAsia="Times New Roman"/>
          <w:sz w:val="28"/>
          <w:szCs w:val="28"/>
          <w:lang w:eastAsia="ru-RU"/>
        </w:rPr>
        <w:t>», ООО «</w:t>
      </w:r>
      <w:proofErr w:type="spellStart"/>
      <w:r>
        <w:rPr>
          <w:rFonts w:eastAsia="Times New Roman"/>
          <w:sz w:val="28"/>
          <w:szCs w:val="28"/>
          <w:lang w:eastAsia="ru-RU"/>
        </w:rPr>
        <w:t>Реттенмайер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ru-RU"/>
        </w:rPr>
        <w:t>РУС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Продуктион</w:t>
      </w:r>
      <w:proofErr w:type="spellEnd"/>
      <w:r>
        <w:rPr>
          <w:rFonts w:eastAsia="Times New Roman"/>
          <w:sz w:val="28"/>
          <w:szCs w:val="28"/>
          <w:lang w:eastAsia="ru-RU"/>
        </w:rPr>
        <w:t>», ООО «</w:t>
      </w:r>
      <w:proofErr w:type="spellStart"/>
      <w:r>
        <w:rPr>
          <w:rFonts w:eastAsia="Times New Roman"/>
          <w:sz w:val="28"/>
          <w:szCs w:val="28"/>
          <w:lang w:eastAsia="ru-RU"/>
        </w:rPr>
        <w:t>Картонснаб</w:t>
      </w:r>
      <w:proofErr w:type="spellEnd"/>
      <w:r>
        <w:rPr>
          <w:rFonts w:eastAsia="Times New Roman"/>
          <w:sz w:val="28"/>
          <w:szCs w:val="28"/>
          <w:lang w:eastAsia="ru-RU"/>
        </w:rPr>
        <w:t>», ООО «</w:t>
      </w:r>
      <w:proofErr w:type="spellStart"/>
      <w:r>
        <w:rPr>
          <w:rFonts w:eastAsia="Times New Roman"/>
          <w:sz w:val="28"/>
          <w:szCs w:val="28"/>
          <w:lang w:eastAsia="ru-RU"/>
        </w:rPr>
        <w:t>РусКомТранс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». </w:t>
      </w:r>
    </w:p>
    <w:p w:rsidR="00861E46" w:rsidRDefault="00861E46">
      <w:pPr>
        <w:ind w:firstLine="567"/>
        <w:rPr>
          <w:rFonts w:eastAsia="Times New Roman"/>
          <w:b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Сельское хозяйство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Прогноз социально-экономического развития агропромышленного комплекса Балахнинского муниципального округа разработан в соответствии с Соглашением № 302 -07-03-02/04 от 02 апреля 2020 года о сотрудничестве в сфере реализации мероприятий программ по развитию агропромышленного комплекса между Министерством сельского хозяйства и продовольственных ресурсов Нижегородской области и администрацией Балахнинского муниципального округа.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Всего в округе производством сельхозпродукции на 1 января 2021 года занимаются 2 </w:t>
      </w:r>
      <w:proofErr w:type="spellStart"/>
      <w:r>
        <w:rPr>
          <w:rFonts w:eastAsia="Times New Roman"/>
          <w:sz w:val="28"/>
          <w:szCs w:val="28"/>
          <w:lang w:eastAsia="ru-RU"/>
        </w:rPr>
        <w:t>сельхозорганизации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, 5 крестьянских (фермерских) хозяйств, 1 хозяйство, зарегистрированное в качестве индивидуального предпринимателя и 12,5 тысяч владельцев личных подсобных хозяйств (далее - ЛПХ).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Основными направлениями в прогнозируемом периоде остаются растениеводство и животноводство.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ООО «Исток» </w:t>
      </w:r>
      <w:proofErr w:type="gramStart"/>
      <w:r>
        <w:rPr>
          <w:rFonts w:eastAsia="Times New Roman"/>
          <w:sz w:val="28"/>
          <w:szCs w:val="28"/>
          <w:lang w:eastAsia="ru-RU"/>
        </w:rPr>
        <w:t>и ООО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sz w:val="28"/>
          <w:szCs w:val="28"/>
          <w:lang w:eastAsia="ru-RU"/>
        </w:rPr>
        <w:t>Правдинское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» - основные производители зерновых и зернобобовых культур в Балахнинском муниципальном округе.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2021 году общая посевная площадь составила 2 976 га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eastAsia="Times New Roman"/>
          <w:sz w:val="28"/>
          <w:szCs w:val="28"/>
          <w:lang w:eastAsia="ru-RU"/>
        </w:rPr>
        <w:t>в 2022 году посевная площадь прогнозируется в размере 2 876,5 га., что меньше на 90,5 га., чем в 2021 году. Данный факт связан за счет продажи земельных участков индивидуальным предпринимателям.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Производство зерновых и зернобобовых культур в СХО округа прогнозируется в 2022 году на уровне 2021 года, а в 2023-2024 годах с ростом от 1,01 до 1,07 к уровню 2022 года за счет поэтапного введения в оборот неиспользуемой пашни, заросшей древесно-кустарниковой растительностью в ООО «Исток» (в 2017 году хозяйство приобрело 641,4 га). </w:t>
      </w:r>
      <w:proofErr w:type="gramEnd"/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Роль ЛПХ в производстве продукции животноводства и растениеводства на весь прогнозируемый период сохранится с темпами развития около 101,4 %.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Владельцы ЛПХ являются основными производителями картофеля (73,0 %) и овощей (100,0 %). </w:t>
      </w: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«Исток» производит 27 % от общего объема картофеля в округе.</w:t>
      </w:r>
    </w:p>
    <w:p w:rsidR="00861E46" w:rsidRDefault="00861E46">
      <w:pPr>
        <w:ind w:firstLine="567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Инвестиции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 разработке прогноза по градообразующим показателям учтены инвестиционные проекты, которые будут реализованы в среднесрочном периоде.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Постановлением администрации Балахнинского муниципального округа от 24.06.2021 год № 1175 утвержден Инвестиционный план Балахнинского муниципального округа Нижегородской области.</w:t>
      </w:r>
    </w:p>
    <w:p w:rsidR="00861E46" w:rsidRDefault="00D2036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Объем инвестиций в основной капитал в 2021 году по Балахнинскому муниципальному округу планируется в сумме 2 507,30 млн. руб. (2020 г.- 2 348,49 млн. руб.), или 106,76%.</w:t>
      </w:r>
    </w:p>
    <w:p w:rsidR="00861E46" w:rsidRDefault="00D2036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2022 год – план 2 758,03 тыс. руб., 2023 год – план 3031,10 тыс. руб., 2024 год – план 3 322,10 тыс. руб.</w:t>
      </w:r>
    </w:p>
    <w:p w:rsidR="00861E46" w:rsidRDefault="00D2036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Основную долю в инвестициях составляют капитальные вложения промышленных предприятий – свыше 79,5%. </w:t>
      </w:r>
    </w:p>
    <w:p w:rsidR="00861E46" w:rsidRDefault="00861E46">
      <w:pPr>
        <w:ind w:firstLine="567"/>
        <w:rPr>
          <w:rFonts w:eastAsia="Times New Roman"/>
          <w:b/>
          <w:color w:val="FF0000"/>
          <w:sz w:val="26"/>
          <w:szCs w:val="26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Потребительский рынок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Объем розничного товарооборота (во всех каналах реализации без учета объемов сокрытия) по оценки в 2020 году составил 10 108,36 млн. руб. или 93,45%, что 708,92 млн. руб. меньше аналогичного периода 2019 года.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Оценка 2021 года составит 10 664,32 млн. руб., прогноз 2022 года – 11 069,56 млн. руб.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2022-2024 годы прогнозируется увеличение объема оборота розничной торговли в основном за счет роста цен.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Оборот торговли составит: в 2022 г. – 11 069,56 млн. руб., в 2023 г. – 11 512,35 и в 2024 году – 11 972,84 млн. руб.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Объем платных услуг населению (крупным и среднем организациям) в 2020 году составил 234,85 млн. руб. или 96,94%, что на 7,42 меньше аналогичного периода 2019 года.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Оценка 2021 года составит 243,77 млн. руб.,</w:t>
      </w:r>
      <w:r>
        <w:t xml:space="preserve"> </w:t>
      </w:r>
      <w:r>
        <w:rPr>
          <w:rFonts w:eastAsia="Times New Roman"/>
          <w:sz w:val="28"/>
          <w:szCs w:val="28"/>
          <w:lang w:eastAsia="ru-RU"/>
        </w:rPr>
        <w:t>прогноз 2022 года – 266,20 млн. руб.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Рост объема платных услуг по кругу крупных и средних предприятий прогнозируется за счет роста цен на услуги: 2022 г. – 266,2 млн. руб., </w:t>
      </w:r>
      <w:proofErr w:type="spellStart"/>
      <w:r>
        <w:rPr>
          <w:rFonts w:eastAsia="Times New Roman"/>
          <w:sz w:val="28"/>
          <w:szCs w:val="28"/>
          <w:lang w:eastAsia="ru-RU"/>
        </w:rPr>
        <w:t>2023г</w:t>
      </w:r>
      <w:proofErr w:type="spellEnd"/>
      <w:r>
        <w:rPr>
          <w:rFonts w:eastAsia="Times New Roman"/>
          <w:sz w:val="28"/>
          <w:szCs w:val="28"/>
          <w:lang w:eastAsia="ru-RU"/>
        </w:rPr>
        <w:t>. – 286,25 млн. руб., в 2024 г. – 307,82 млн. руб.</w:t>
      </w:r>
    </w:p>
    <w:p w:rsidR="00861E46" w:rsidRDefault="00861E46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Финансовый результат</w:t>
      </w:r>
    </w:p>
    <w:p w:rsidR="00861E46" w:rsidRDefault="00D2036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оценке 2021 года прибыль прибыльных предприятий составит 3 632,0 млн. руб. Увеличение прибыли по сравнению с 2020 годом обусловлено с активизации инвестиционной деятельности промышленных предприятий и получение дивидендов за 1 квартал 2021 года.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прогнозу объем прибыли прибыльных организаций в 2022 году составит 3 889,87 млн. руб. с приростом к 2021 году на 7,1%.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2023-2024 годы прибыль прогнозируется с учетом методических рекомендаций минэкономразвития Нижегородской области.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 2024 году прибыль прогнозируется в сумме до 4 528,74 млн. руб., что на 25% выше уровня 2022 года. </w:t>
      </w:r>
    </w:p>
    <w:p w:rsidR="00861E46" w:rsidRDefault="00861E46">
      <w:pPr>
        <w:ind w:firstLine="567"/>
        <w:jc w:val="right"/>
        <w:rPr>
          <w:rFonts w:eastAsia="Times New Roman"/>
          <w:sz w:val="26"/>
          <w:szCs w:val="26"/>
          <w:lang w:eastAsia="ru-RU"/>
        </w:rPr>
      </w:pPr>
    </w:p>
    <w:p w:rsidR="00861E46" w:rsidRDefault="00D2036D">
      <w:pPr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Динамика прибыли прибыльных организаций</w:t>
      </w:r>
    </w:p>
    <w:p w:rsidR="00861E46" w:rsidRDefault="00861E46">
      <w:pPr>
        <w:ind w:firstLine="0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861E46" w:rsidRDefault="00861E46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861E46">
          <w:pgSz w:w="11906" w:h="16838"/>
          <w:pgMar w:top="1134" w:right="567" w:bottom="993" w:left="1134" w:header="709" w:footer="709" w:gutter="0"/>
          <w:cols w:space="720"/>
          <w:titlePg/>
        </w:sectPr>
      </w:pPr>
    </w:p>
    <w:p w:rsidR="00861E46" w:rsidRDefault="00861E46">
      <w:pPr>
        <w:tabs>
          <w:tab w:val="left" w:pos="4470"/>
        </w:tabs>
        <w:ind w:firstLine="0"/>
        <w:rPr>
          <w:rFonts w:eastAsia="Times New Roman"/>
          <w:szCs w:val="24"/>
          <w:lang w:eastAsia="ru-RU"/>
        </w:rPr>
      </w:pPr>
    </w:p>
    <w:p w:rsidR="00861E46" w:rsidRDefault="00D2036D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95975" cy="2743200"/>
            <wp:effectExtent l="0" t="0" r="952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46" w:rsidRDefault="00D2036D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Основная часть прибыли в прогнозируемом периоде будет формироваться на промышленных предприятиях округа (около 80%).</w:t>
      </w:r>
    </w:p>
    <w:p w:rsidR="00861E46" w:rsidRDefault="00861E46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</w:p>
    <w:p w:rsidR="00861E46" w:rsidRDefault="00D2036D">
      <w:pPr>
        <w:tabs>
          <w:tab w:val="left" w:pos="1134"/>
        </w:tabs>
        <w:ind w:firstLine="567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2.2.2. Социальное развитие</w:t>
      </w:r>
    </w:p>
    <w:p w:rsidR="00861E46" w:rsidRDefault="00861E46">
      <w:pPr>
        <w:tabs>
          <w:tab w:val="left" w:pos="1134"/>
        </w:tabs>
        <w:ind w:firstLine="567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Демография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Прогноз демографических показателей на 2022-2024 годы предусматривает </w:t>
      </w:r>
      <w:r>
        <w:rPr>
          <w:rFonts w:eastAsia="Times New Roman"/>
          <w:iCs/>
          <w:sz w:val="28"/>
          <w:szCs w:val="28"/>
          <w:lang w:eastAsia="ru-RU"/>
        </w:rPr>
        <w:t>сокращение численности населения, в основном за счет</w:t>
      </w:r>
      <w:r>
        <w:rPr>
          <w:rFonts w:eastAsia="Times New Roman"/>
          <w:sz w:val="28"/>
          <w:szCs w:val="28"/>
          <w:lang w:eastAsia="ru-RU"/>
        </w:rPr>
        <w:t xml:space="preserve"> естественной убыли.</w:t>
      </w:r>
    </w:p>
    <w:p w:rsidR="00861E46" w:rsidRDefault="00D2036D">
      <w:pPr>
        <w:ind w:firstLine="567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iCs/>
          <w:sz w:val="28"/>
          <w:szCs w:val="28"/>
          <w:lang w:eastAsia="ru-RU"/>
        </w:rPr>
        <w:t xml:space="preserve">В 2022 году среднегодовая численность жителей округа по прогнозу составит 74,319 тыс. чел., </w:t>
      </w:r>
    </w:p>
    <w:p w:rsidR="00861E46" w:rsidRDefault="00D2036D">
      <w:pPr>
        <w:ind w:firstLine="567"/>
        <w:rPr>
          <w:rFonts w:eastAsia="Times New Roman"/>
          <w:iCs/>
          <w:sz w:val="28"/>
          <w:szCs w:val="28"/>
          <w:lang w:eastAsia="ru-RU"/>
        </w:rPr>
      </w:pPr>
      <w:proofErr w:type="gramStart"/>
      <w:r>
        <w:rPr>
          <w:rFonts w:eastAsia="Times New Roman"/>
          <w:iCs/>
          <w:sz w:val="28"/>
          <w:szCs w:val="28"/>
          <w:lang w:eastAsia="ru-RU"/>
        </w:rPr>
        <w:t xml:space="preserve">На 01.07.2021 года численность жителей округа составляет 74,558 тыс. чел., в том числе население, проживающее в городских поселениях 68,584 тыс. чел., в сельских - 5,974 тыс. чел. </w:t>
      </w:r>
      <w:proofErr w:type="gramEnd"/>
    </w:p>
    <w:p w:rsidR="00861E46" w:rsidRDefault="00D2036D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29275" cy="27432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Уровень жизни населения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Прогноз доходов населения разрабатывался с учетом роста основных секторов экономики, в </w:t>
      </w:r>
      <w:proofErr w:type="spellStart"/>
      <w:r>
        <w:rPr>
          <w:rFonts w:eastAsia="Times New Roman"/>
          <w:sz w:val="28"/>
          <w:szCs w:val="28"/>
          <w:lang w:eastAsia="ru-RU"/>
        </w:rPr>
        <w:t>т.ч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. реализации инвестиционных проектов предприятий, прогноза по увеличению оплаты труда работающих на предприятиях Балахнинского </w:t>
      </w:r>
      <w:r>
        <w:rPr>
          <w:rFonts w:eastAsia="Times New Roman"/>
          <w:sz w:val="28"/>
          <w:szCs w:val="28"/>
          <w:lang w:eastAsia="ru-RU"/>
        </w:rPr>
        <w:lastRenderedPageBreak/>
        <w:t>муниципального округа, а также с учетом осуществления мер по повышению оплаты труда работников бюджетной сферы.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Прогнозируется, что в 2021 году объем ФОТ достигнет 8 272,30 млн. руб., что на 11,4% выше уровня 2020 года.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2022 году объем ФОТ достигнет 8 824,70 млн. руб., что на 6,7% выше уровня 2021 года.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2023-2024 годах ежегодный прирост, в среднем составит 6,6%. </w:t>
      </w:r>
    </w:p>
    <w:p w:rsidR="00861E46" w:rsidRDefault="00861E46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861E46" w:rsidRDefault="00D2036D">
      <w:pPr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Динамика ФОТ </w:t>
      </w:r>
    </w:p>
    <w:p w:rsidR="00861E46" w:rsidRDefault="00D2036D">
      <w:pPr>
        <w:ind w:firstLine="0"/>
        <w:rPr>
          <w:rFonts w:eastAsia="Times New Roman"/>
          <w:b/>
          <w:i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91275" cy="2952750"/>
            <wp:effectExtent l="0" t="0" r="9525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прогнозу к 2022 году ФОТ будет расти, что позволит обеспечить рост реальной заработной платы.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Средняя заработная плата всех категорий работающих по прогнозу 2022 года составит 31 991,75 рублей с ростом к 2021 году на 8,1%, уровень реальной заработной платы – 107,2 %.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Реальная заработная плата в целом по округу к 2023-2024 году прогнозируется с положительной динамикой на уровне 106,7%.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Среднемесячная заработная плата работников в целом по округу к концу 2024 года увеличится в 1,22 раза (в действующих ценах) к 2021 году и достигнет 36 175,75 рублей. </w:t>
      </w:r>
    </w:p>
    <w:p w:rsidR="00861E46" w:rsidRDefault="00861E46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274320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61E46" w:rsidRDefault="00D2036D">
      <w:pPr>
        <w:ind w:firstLine="567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Рынок труда и занятость населения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Ситуация на рынке труда, сложившаяся в Балахнинском муниципальном округе, носит не стабильный характер.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Предполагается, что в 2024 году в экономике округа будет занято 29,184 тыс. человек, что выше уровня 2022 года на 2,3%. Данный факт связан с увеличением пенсионного возраста.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 оценке 2022 года численность официально зарегистрированных безработных составит 300 чел. 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2023-2024 </w:t>
      </w:r>
      <w:proofErr w:type="spellStart"/>
      <w:r>
        <w:rPr>
          <w:rFonts w:eastAsia="Times New Roman"/>
          <w:sz w:val="28"/>
          <w:szCs w:val="28"/>
          <w:lang w:eastAsia="ru-RU"/>
        </w:rPr>
        <w:t>г.г</w:t>
      </w:r>
      <w:proofErr w:type="spellEnd"/>
      <w:r>
        <w:rPr>
          <w:rFonts w:eastAsia="Times New Roman"/>
          <w:sz w:val="28"/>
          <w:szCs w:val="28"/>
          <w:lang w:eastAsia="ru-RU"/>
        </w:rPr>
        <w:t>. численность официально зарегистрированных безработных планируется на уровне 2022 года.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Уровень безработицы прогнозируется к концу 2024 года на 0,54%, что ниже уровня 2021 года.</w:t>
      </w:r>
    </w:p>
    <w:p w:rsidR="00861E46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noProof/>
          <w:color w:val="00B050"/>
          <w:lang w:eastAsia="ru-RU"/>
        </w:rPr>
        <w:drawing>
          <wp:inline distT="0" distB="0" distL="0" distR="0">
            <wp:extent cx="5895975" cy="27432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61E46" w:rsidRDefault="00861E46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861E46" w:rsidRDefault="00861E46">
      <w:pPr>
        <w:ind w:firstLine="0"/>
        <w:rPr>
          <w:rFonts w:eastAsia="Times New Roman"/>
          <w:sz w:val="26"/>
          <w:szCs w:val="26"/>
          <w:lang w:eastAsia="ru-RU"/>
        </w:rPr>
      </w:pPr>
    </w:p>
    <w:p w:rsidR="00861E46" w:rsidRDefault="00861E46">
      <w:pPr>
        <w:ind w:firstLine="0"/>
        <w:rPr>
          <w:rFonts w:eastAsia="Times New Roman"/>
          <w:sz w:val="26"/>
          <w:szCs w:val="26"/>
          <w:lang w:eastAsia="ru-RU"/>
        </w:rPr>
      </w:pPr>
    </w:p>
    <w:p w:rsidR="00861E46" w:rsidRDefault="00D2036D">
      <w:pPr>
        <w:ind w:firstLine="567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</w:t>
      </w:r>
    </w:p>
    <w:p w:rsidR="00861E46" w:rsidRDefault="00861E46">
      <w:pPr>
        <w:ind w:firstLine="0"/>
        <w:rPr>
          <w:rFonts w:eastAsia="Times New Roman"/>
          <w:szCs w:val="24"/>
          <w:lang w:eastAsia="ru-RU"/>
        </w:rPr>
      </w:pPr>
    </w:p>
    <w:p w:rsidR="00861E46" w:rsidRDefault="00861E46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861E46">
      <w:type w:val="continuous"/>
      <w:pgSz w:w="11906" w:h="16838"/>
      <w:pgMar w:top="1134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46" w:rsidRDefault="00D2036D">
      <w:r>
        <w:separator/>
      </w:r>
    </w:p>
  </w:endnote>
  <w:endnote w:type="continuationSeparator" w:id="0">
    <w:p w:rsidR="00861E46" w:rsidRDefault="00D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46" w:rsidRDefault="00D2036D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10</w:t>
    </w:r>
    <w:r>
      <w:rPr>
        <w:rStyle w:val="af6"/>
      </w:rPr>
      <w:fldChar w:fldCharType="end"/>
    </w:r>
  </w:p>
  <w:p w:rsidR="00861E46" w:rsidRDefault="00861E4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46" w:rsidRDefault="00861E4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46" w:rsidRDefault="00D2036D">
      <w:r>
        <w:separator/>
      </w:r>
    </w:p>
  </w:footnote>
  <w:footnote w:type="continuationSeparator" w:id="0">
    <w:p w:rsidR="00861E46" w:rsidRDefault="00D2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46" w:rsidRDefault="00D2036D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61E46" w:rsidRDefault="00861E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46" w:rsidRDefault="00D2036D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90F2B">
      <w:rPr>
        <w:rStyle w:val="af6"/>
        <w:noProof/>
      </w:rPr>
      <w:t>11</w:t>
    </w:r>
    <w:r>
      <w:rPr>
        <w:rStyle w:val="af6"/>
      </w:rPr>
      <w:fldChar w:fldCharType="end"/>
    </w:r>
  </w:p>
  <w:p w:rsidR="00861E46" w:rsidRDefault="00861E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6D"/>
    <w:rsid w:val="00290F2B"/>
    <w:rsid w:val="00861E46"/>
    <w:rsid w:val="00D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1714433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10584374259085E-4"/>
          <c:y val="1.2310922673127397E-3"/>
          <c:w val="0.98650366072661966"/>
          <c:h val="0.9447983811183907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2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Lbls>
            <c:dLbl>
              <c:idx val="0"/>
              <c:layout>
                <c:manualLayout>
                  <c:x val="8.8657655903348162E-2"/>
                  <c:y val="-2.613801736321421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обрабатывающие производства 88,91%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28559009363132E-2"/>
                  <c:y val="-7.524538663436301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обеспечение электрической энергией, газом и паром; кондиционирование воздуха
4,59%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614256419215427"/>
                  <c:y val="4.43088229355945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водоснабжение; водоотведение, организация сбора и утилизации отходов, деятельность по ликвидации загрязнений
1,18%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669740569275116E-2"/>
                  <c:y val="3.3600646073087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строительство
1,40%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42601578130784368"/>
                  <c:y val="0.215583767413688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торговля оптовая и розничная; ремонт автотранспортных средств и мотоциклов
0,03%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9555261614485195"/>
                  <c:y val="0.24680314960629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транспортировка и хранение
0,09%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398675601365219E-3"/>
                  <c:y val="9.17483545326063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гостиниц и предприятий общественного питания
0,06%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1100906364517352E-2"/>
                  <c:y val="0.254864688067837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в области информации и связи
0,01%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2170616153171028"/>
                  <c:y val="0.2289691096305269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по операциям с недвижимым имуществом
0,66%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23552466401287794"/>
                  <c:y val="9.18362204724409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0,29%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0.52270453515022186"/>
                  <c:y val="0.175456975570361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в области здравоохранения и социальных услуг
2,12%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0.37499365669624102"/>
                  <c:y val="2.1516172016959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в области культуры, спорта, организации досуга и развлечений
0,03%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0.17579994259830042"/>
                  <c:y val="-4.57111245709670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предоставление прочих видов услуг
0,62%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0.00%" sourceLinked="0"/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Лист3!$B$5:$B$17</c:f>
              <c:strCache>
                <c:ptCount val="13"/>
                <c:pt idx="0">
                  <c:v>ОБРАБАТЫВАЮЩИЕ ПРОИЗВОДСТВА</c:v>
                </c:pt>
                <c:pt idx="1">
                  <c:v>ОБЕСПЕЧЕНИЕ ЭЛЕКТРИЧЕСКОЙ ЭНЕРГИЕЙ, ГАЗОМ И ПАРОМ; КОНДИЦИОНИРОВАНИЕ ВОЗДУХА</c:v>
                </c:pt>
                <c:pt idx="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В ОБЛАСТИ ИНФОРМАЦИИ И СВЯЗИ</c:v>
                </c:pt>
                <c:pt idx="8">
                  <c:v>ДЕЯТЕЛЬНОСТЬ ПО ОПЕРАЦИЯМ С НЕДВИЖИМЫМ ИМУЩЕСТВОМ</c:v>
                </c:pt>
                <c:pt idx="9">
                  <c:v>ОБРАЗОВАНИЕ</c:v>
                </c:pt>
                <c:pt idx="10">
                  <c:v>ДЕЯТЕЛЬНОСТЬ В ОБЛАСТИ ЗДРАВООХРАНЕНИЯ И СОЦИАЛЬНЫХ УСЛУГ</c:v>
                </c:pt>
                <c:pt idx="11">
                  <c:v>ДЕЯТЕЛЬНОСТЬ В ОБЛАСТИ КУЛЬТУРЫ, СПОРТА, ОРГАНИЗАЦИИ ДОСУГА И РАЗВЛЕЧЕНИЙ</c:v>
                </c:pt>
                <c:pt idx="12">
                  <c:v>ПРЕДОСТАВЛЕНИЕ ПРОЧИХ ВИДОВ УСЛУГ</c:v>
                </c:pt>
              </c:strCache>
            </c:strRef>
          </c:cat>
          <c:val>
            <c:numRef>
              <c:f>Лист3!$C$5:$C$17</c:f>
              <c:numCache>
                <c:formatCode>General</c:formatCode>
                <c:ptCount val="13"/>
                <c:pt idx="0">
                  <c:v>11948.83</c:v>
                </c:pt>
                <c:pt idx="1">
                  <c:v>617.21</c:v>
                </c:pt>
                <c:pt idx="2">
                  <c:v>158.49</c:v>
                </c:pt>
                <c:pt idx="3">
                  <c:v>188.68</c:v>
                </c:pt>
                <c:pt idx="4">
                  <c:v>4.41</c:v>
                </c:pt>
                <c:pt idx="5">
                  <c:v>12.51</c:v>
                </c:pt>
                <c:pt idx="6">
                  <c:v>8.2899999999999991</c:v>
                </c:pt>
                <c:pt idx="7">
                  <c:v>1.1499999999999999</c:v>
                </c:pt>
                <c:pt idx="8">
                  <c:v>88.92</c:v>
                </c:pt>
                <c:pt idx="9">
                  <c:v>38.590000000000003</c:v>
                </c:pt>
                <c:pt idx="10">
                  <c:v>285.02999999999997</c:v>
                </c:pt>
                <c:pt idx="11">
                  <c:v>4.1500000000000004</c:v>
                </c:pt>
                <c:pt idx="12">
                  <c:v>82.9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noFill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численности населения, тыс. чел.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072758037225041E-2"/>
          <c:y val="0.20358814523184601"/>
          <c:w val="0.9503666102650874"/>
          <c:h val="0.5461727179935841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5B9BD5">
                <a:lumMod val="60000"/>
                <a:lumOff val="40000"/>
              </a:srgbClr>
            </a:solidFill>
            <a:ln>
              <a:solidFill>
                <a:sysClr val="window" lastClr="FFFFFF"/>
              </a:solidFill>
            </a:ln>
          </c:spPr>
          <c:invertIfNegative val="0"/>
          <c:dLbls>
            <c:dLbl>
              <c:idx val="0"/>
              <c:layout>
                <c:manualLayout>
                  <c:x val="2.5000000000000001E-2"/>
                  <c:y val="-0.333333697871099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22239098286E-2"/>
                  <c:y val="-0.319444808982210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66622255974348E-2"/>
                  <c:y val="-0.28703740157480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7946938104818034E-2"/>
                  <c:y val="-0.268518518518518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956548578635793E-2"/>
                  <c:y val="-0.222222586759988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Лист4!$B$4:$B$8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Лист4!$C$4:$C$8</c:f>
              <c:numCache>
                <c:formatCode>General</c:formatCode>
                <c:ptCount val="5"/>
                <c:pt idx="0">
                  <c:v>75057</c:v>
                </c:pt>
                <c:pt idx="1">
                  <c:v>74697</c:v>
                </c:pt>
                <c:pt idx="2">
                  <c:v>74319</c:v>
                </c:pt>
                <c:pt idx="3">
                  <c:v>73968</c:v>
                </c:pt>
                <c:pt idx="4">
                  <c:v>73619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301427712"/>
        <c:axId val="378751808"/>
        <c:axId val="0"/>
      </c:bar3DChart>
      <c:catAx>
        <c:axId val="301427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8751808"/>
        <c:crosses val="autoZero"/>
        <c:auto val="1"/>
        <c:lblAlgn val="ctr"/>
        <c:lblOffset val="100"/>
        <c:noMultiLvlLbl val="0"/>
      </c:catAx>
      <c:valAx>
        <c:axId val="37875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1427712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средней заработанной платы , руб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195135056936781E-2"/>
                  <c:y val="-0.296296660834062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04968276603219E-2"/>
                  <c:y val="-0.291666666666666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66624537101403E-2"/>
                  <c:y val="-0.314815179352580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806806452564218E-2"/>
                  <c:y val="-0.328703703703703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0555562577149767E-2"/>
                  <c:y val="-0.342593686205890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Лист5!$B$3:$B$7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Лист5!$C$3:$C$7</c:f>
              <c:numCache>
                <c:formatCode>#,##0.00</c:formatCode>
                <c:ptCount val="5"/>
                <c:pt idx="0">
                  <c:v>29854.65</c:v>
                </c:pt>
                <c:pt idx="1">
                  <c:v>29601.27</c:v>
                </c:pt>
                <c:pt idx="2">
                  <c:v>31991.75</c:v>
                </c:pt>
                <c:pt idx="3">
                  <c:v>34128.07</c:v>
                </c:pt>
                <c:pt idx="4">
                  <c:v>36175.75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301424640"/>
        <c:axId val="378755264"/>
        <c:axId val="0"/>
      </c:bar3DChart>
      <c:catAx>
        <c:axId val="301424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8755264"/>
        <c:crosses val="autoZero"/>
        <c:auto val="1"/>
        <c:lblAlgn val="ctr"/>
        <c:lblOffset val="100"/>
        <c:noMultiLvlLbl val="0"/>
      </c:catAx>
      <c:valAx>
        <c:axId val="378755264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301424640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официально зарегистрированной безработицы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15729184893554973"/>
          <c:w val="0.93888888888888888"/>
          <c:h val="0.68969123651210262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0.3425925925925926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0925337632079971E-17"/>
                  <c:y val="-0.1990740740740741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0.194444444444444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5555555555555558E-3"/>
                  <c:y val="-0.180555555555555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7779965004373435E-3"/>
                  <c:y val="-0.1898148148148149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Лист6!$B$4:$B$8</c:f>
              <c:strCache>
                <c:ptCount val="5"/>
                <c:pt idx="0">
                  <c:v>2020 факт</c:v>
                </c:pt>
                <c:pt idx="1">
                  <c:v>2021 оценка</c:v>
                </c:pt>
                <c:pt idx="2">
                  <c:v>2022 прогноз</c:v>
                </c:pt>
                <c:pt idx="3">
                  <c:v>2023 прогноз</c:v>
                </c:pt>
                <c:pt idx="4">
                  <c:v>2024 прогноз</c:v>
                </c:pt>
              </c:strCache>
            </c:strRef>
          </c:cat>
          <c:val>
            <c:numRef>
              <c:f>Лист6!$C$4:$C$8</c:f>
              <c:numCache>
                <c:formatCode>#,##0.00</c:formatCode>
                <c:ptCount val="5"/>
                <c:pt idx="0">
                  <c:v>2.54</c:v>
                </c:pt>
                <c:pt idx="1">
                  <c:v>1.31</c:v>
                </c:pt>
                <c:pt idx="2">
                  <c:v>1.19</c:v>
                </c:pt>
                <c:pt idx="3">
                  <c:v>1.1499999999999999</c:v>
                </c:pt>
                <c:pt idx="4">
                  <c:v>1.1499999999999999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477582848"/>
        <c:axId val="395968512"/>
      </c:barChart>
      <c:catAx>
        <c:axId val="477582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95968512"/>
        <c:crosses val="autoZero"/>
        <c:auto val="1"/>
        <c:lblAlgn val="ctr"/>
        <c:lblOffset val="100"/>
        <c:noMultiLvlLbl val="0"/>
      </c:catAx>
      <c:valAx>
        <c:axId val="39596851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4775828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FC32-ED5F-41A3-B2E6-8425FBA7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2492</Words>
  <Characters>16310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Мордовская Юлия Николаевна</cp:lastModifiedBy>
  <cp:revision>2</cp:revision>
  <dcterms:created xsi:type="dcterms:W3CDTF">2021-11-15T08:56:00Z</dcterms:created>
  <dcterms:modified xsi:type="dcterms:W3CDTF">2021-11-15T08:56:00Z</dcterms:modified>
</cp:coreProperties>
</file>