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E46" w:rsidRDefault="00D2036D">
      <w:pPr>
        <w:ind w:firstLine="0"/>
        <w:jc w:val="center"/>
        <w:rPr>
          <w:rFonts w:eastAsia="Times New Roman"/>
          <w:b/>
          <w:sz w:val="32"/>
          <w:lang w:eastAsia="ru-RU"/>
        </w:rPr>
      </w:pPr>
      <w:r>
        <w:rPr>
          <w:rFonts w:eastAsia="Times New Roman"/>
          <w:b/>
          <w:sz w:val="32"/>
          <w:lang w:eastAsia="ru-RU"/>
        </w:rPr>
        <w:t xml:space="preserve">Администрация </w:t>
      </w:r>
    </w:p>
    <w:p w:rsidR="00861E46" w:rsidRDefault="00D2036D">
      <w:pPr>
        <w:ind w:firstLine="0"/>
        <w:jc w:val="center"/>
        <w:rPr>
          <w:rFonts w:eastAsia="Times New Roman"/>
          <w:b/>
          <w:sz w:val="32"/>
          <w:lang w:eastAsia="ru-RU"/>
        </w:rPr>
      </w:pPr>
      <w:r>
        <w:rPr>
          <w:rFonts w:eastAsia="Times New Roman"/>
          <w:b/>
          <w:sz w:val="32"/>
          <w:lang w:eastAsia="ru-RU"/>
        </w:rPr>
        <w:t>Балахнинского муниципального округа</w:t>
      </w:r>
    </w:p>
    <w:p w:rsidR="00861E46" w:rsidRDefault="00D2036D">
      <w:pPr>
        <w:ind w:firstLine="567"/>
        <w:jc w:val="center"/>
        <w:rPr>
          <w:rFonts w:eastAsia="Times New Roman"/>
          <w:b/>
          <w:sz w:val="32"/>
          <w:lang w:eastAsia="ru-RU"/>
        </w:rPr>
      </w:pPr>
      <w:r>
        <w:rPr>
          <w:rFonts w:eastAsia="Times New Roman"/>
          <w:b/>
          <w:sz w:val="32"/>
          <w:lang w:eastAsia="ru-RU"/>
        </w:rPr>
        <w:t>Нижегородской области</w:t>
      </w:r>
    </w:p>
    <w:p w:rsidR="00861E46" w:rsidRDefault="00861E46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:rsidR="00861E46" w:rsidRDefault="00D2036D">
      <w:pPr>
        <w:ind w:firstLine="0"/>
        <w:jc w:val="center"/>
        <w:rPr>
          <w:rFonts w:eastAsia="Times New Roman"/>
          <w:b/>
          <w:sz w:val="32"/>
          <w:lang w:eastAsia="ru-RU"/>
        </w:rPr>
      </w:pPr>
      <w:r>
        <w:rPr>
          <w:rFonts w:eastAsia="Times New Roman"/>
          <w:b/>
          <w:sz w:val="32"/>
          <w:lang w:eastAsia="ru-RU"/>
        </w:rPr>
        <w:t>ПОСТАНОВЛЕНИЕ</w:t>
      </w:r>
    </w:p>
    <w:p w:rsidR="00861E46" w:rsidRDefault="00861E46">
      <w:pPr>
        <w:ind w:firstLine="0"/>
        <w:jc w:val="center"/>
        <w:rPr>
          <w:rFonts w:eastAsia="Times New Roman"/>
          <w:b/>
          <w:lang w:eastAsia="ru-RU"/>
        </w:rPr>
      </w:pPr>
    </w:p>
    <w:p w:rsidR="00861E46" w:rsidRDefault="00D2036D">
      <w:pPr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proofErr w:type="spellStart"/>
      <w:r>
        <w:rPr>
          <w:rFonts w:eastAsia="Times New Roman"/>
          <w:lang w:eastAsia="ru-RU"/>
        </w:rPr>
        <w:t>11.11.2021г</w:t>
      </w:r>
      <w:proofErr w:type="spellEnd"/>
      <w:r>
        <w:rPr>
          <w:rFonts w:eastAsia="Times New Roman"/>
          <w:lang w:eastAsia="ru-RU"/>
        </w:rPr>
        <w:t>. № 2103</w:t>
      </w:r>
    </w:p>
    <w:p w:rsidR="00861E46" w:rsidRDefault="00861E46">
      <w:pPr>
        <w:ind w:firstLine="0"/>
        <w:jc w:val="center"/>
        <w:rPr>
          <w:rFonts w:eastAsia="Times New Roman"/>
          <w:szCs w:val="24"/>
          <w:lang w:eastAsia="ru-RU"/>
        </w:rPr>
      </w:pPr>
    </w:p>
    <w:p w:rsidR="00861E46" w:rsidRDefault="00D2036D">
      <w:pPr>
        <w:ind w:firstLine="0"/>
        <w:jc w:val="center"/>
        <w:rPr>
          <w:b/>
          <w:szCs w:val="24"/>
        </w:rPr>
      </w:pPr>
      <w:r>
        <w:rPr>
          <w:b/>
          <w:szCs w:val="24"/>
        </w:rPr>
        <w:t>О прогнозе социально-экономического развития Балахнинского муниципального округа Нижегородской области на среднесрочный период (на 2022 год и на плановый период 2023 и 2024 годы)</w:t>
      </w:r>
    </w:p>
    <w:p w:rsidR="00861E46" w:rsidRDefault="00861E46">
      <w:pPr>
        <w:ind w:firstLine="0"/>
        <w:jc w:val="center"/>
        <w:rPr>
          <w:b/>
          <w:szCs w:val="24"/>
        </w:rPr>
      </w:pPr>
      <w:bookmarkStart w:id="0" w:name="_GoBack"/>
      <w:bookmarkEnd w:id="0"/>
    </w:p>
    <w:p w:rsidR="00861E46" w:rsidRDefault="00D2036D">
      <w:pPr>
        <w:tabs>
          <w:tab w:val="right" w:pos="9072"/>
        </w:tabs>
        <w:spacing w:line="360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В соответствии со статьей 173 </w:t>
      </w:r>
      <w:hyperlink r:id="rId9" w:tooltip="Бюджетный кодекс Российской Федерации (с изменениями на 15 июля 2021 года)" w:history="1">
        <w:r w:rsidRPr="00290F2B">
          <w:rPr>
            <w:rStyle w:val="a4"/>
            <w:rFonts w:eastAsia="Times New Roman"/>
            <w:color w:val="auto"/>
            <w:szCs w:val="24"/>
            <w:u w:val="none"/>
            <w:lang w:eastAsia="ru-RU"/>
          </w:rPr>
          <w:t>Бюджетного кодекса Российской Федерации</w:t>
        </w:r>
      </w:hyperlink>
      <w:r w:rsidRPr="00290F2B">
        <w:rPr>
          <w:rFonts w:eastAsia="Times New Roman"/>
          <w:szCs w:val="24"/>
          <w:lang w:eastAsia="ru-RU"/>
        </w:rPr>
        <w:t xml:space="preserve">, </w:t>
      </w:r>
      <w:r>
        <w:rPr>
          <w:rFonts w:eastAsia="Times New Roman"/>
          <w:szCs w:val="24"/>
          <w:lang w:eastAsia="ru-RU"/>
        </w:rPr>
        <w:t xml:space="preserve">Законом Нижегородской области от 03 марта 2015 года N 24-З «О стратегическом планировании в Нижегородской области», в целях формирования бюджета Балахнинского муниципального округа Нижегородской области, администрация Балахнинского муниципального округа Нижегородской области </w:t>
      </w:r>
      <w:proofErr w:type="gramStart"/>
      <w:r>
        <w:rPr>
          <w:rFonts w:eastAsia="Times New Roman"/>
          <w:b/>
          <w:szCs w:val="24"/>
          <w:lang w:eastAsia="ru-RU"/>
        </w:rPr>
        <w:t>п</w:t>
      </w:r>
      <w:proofErr w:type="gramEnd"/>
      <w:r>
        <w:rPr>
          <w:rFonts w:eastAsia="Times New Roman"/>
          <w:b/>
          <w:szCs w:val="24"/>
          <w:lang w:eastAsia="ru-RU"/>
        </w:rPr>
        <w:t xml:space="preserve"> о с т а н о в л я е т:</w:t>
      </w:r>
    </w:p>
    <w:p w:rsidR="00861E46" w:rsidRDefault="00D2036D">
      <w:pPr>
        <w:tabs>
          <w:tab w:val="right" w:pos="9072"/>
        </w:tabs>
        <w:spacing w:line="360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1. Одобрить прилагаемый прогноз социально-экономического развития Балахнинского муниципального округа на среднесрочный период (на 2022 год и на плановый период 2023 и 2024 годы) (далее - прогноз).</w:t>
      </w:r>
    </w:p>
    <w:p w:rsidR="00861E46" w:rsidRDefault="00D2036D">
      <w:pPr>
        <w:tabs>
          <w:tab w:val="right" w:pos="9072"/>
        </w:tabs>
        <w:spacing w:line="360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2. Отделу экономики, предпринимательства и инвестиционной политики администрации Балахнинского муниципального округа Нижегородской области, курирующего данное направление, ежеквартально осуществлять мониторинг реализации прогноза.</w:t>
      </w:r>
    </w:p>
    <w:p w:rsidR="00861E46" w:rsidRDefault="00D2036D">
      <w:pPr>
        <w:tabs>
          <w:tab w:val="right" w:pos="9072"/>
        </w:tabs>
        <w:spacing w:line="360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3. Финансовому управлению администрации Балахнинского муниципального округа Нижегородской области направить одобренный прогноз с проектом бюджета Балахнинского муниципального округа Нижегородской области на среднесрочный период (на 2022 год и на плановый период 2023 и 2024 годы) в Совет депутатов Балахнинского муниципального округа Нижегородской области.</w:t>
      </w:r>
    </w:p>
    <w:p w:rsidR="00861E46" w:rsidRDefault="00D2036D">
      <w:pPr>
        <w:tabs>
          <w:tab w:val="right" w:pos="9072"/>
        </w:tabs>
        <w:spacing w:line="360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4. Отделу организационно-протокольной работы администрации Балахнинского муниципального округа Нижегородской области обеспечить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</w:t>
      </w:r>
    </w:p>
    <w:p w:rsidR="00861E46" w:rsidRDefault="00D2036D">
      <w:pPr>
        <w:tabs>
          <w:tab w:val="right" w:pos="9072"/>
        </w:tabs>
        <w:spacing w:line="360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5. </w:t>
      </w:r>
      <w:proofErr w:type="gramStart"/>
      <w:r>
        <w:rPr>
          <w:rFonts w:eastAsia="Times New Roman"/>
          <w:szCs w:val="24"/>
          <w:lang w:eastAsia="ru-RU"/>
        </w:rPr>
        <w:t>Контроль за</w:t>
      </w:r>
      <w:proofErr w:type="gramEnd"/>
      <w:r>
        <w:rPr>
          <w:rFonts w:eastAsia="Times New Roman"/>
          <w:szCs w:val="24"/>
          <w:lang w:eastAsia="ru-RU"/>
        </w:rPr>
        <w:t xml:space="preserve"> исполнением настоящего постановления возложить на заместителя главы администрации по экономике, инвестициям и имущественно-земельным отношениям (</w:t>
      </w:r>
      <w:proofErr w:type="spellStart"/>
      <w:r>
        <w:rPr>
          <w:rFonts w:eastAsia="Times New Roman"/>
          <w:szCs w:val="24"/>
          <w:lang w:eastAsia="ru-RU"/>
        </w:rPr>
        <w:t>В.А.Попов</w:t>
      </w:r>
      <w:proofErr w:type="spellEnd"/>
      <w:r>
        <w:rPr>
          <w:rFonts w:eastAsia="Times New Roman"/>
          <w:szCs w:val="24"/>
          <w:lang w:eastAsia="ru-RU"/>
        </w:rPr>
        <w:t>).</w:t>
      </w:r>
    </w:p>
    <w:p w:rsidR="00861E46" w:rsidRDefault="00861E46">
      <w:pPr>
        <w:tabs>
          <w:tab w:val="right" w:pos="9072"/>
        </w:tabs>
        <w:spacing w:line="360" w:lineRule="auto"/>
        <w:ind w:firstLine="567"/>
        <w:rPr>
          <w:rFonts w:eastAsia="Times New Roman"/>
          <w:szCs w:val="24"/>
          <w:lang w:eastAsia="ru-RU"/>
        </w:rPr>
      </w:pPr>
    </w:p>
    <w:p w:rsidR="00861E46" w:rsidRDefault="00861E46">
      <w:pPr>
        <w:tabs>
          <w:tab w:val="right" w:pos="9072"/>
        </w:tabs>
        <w:spacing w:line="360" w:lineRule="auto"/>
        <w:ind w:firstLine="567"/>
        <w:rPr>
          <w:rFonts w:eastAsia="Times New Roman"/>
          <w:szCs w:val="24"/>
          <w:lang w:eastAsia="ru-RU"/>
        </w:rPr>
      </w:pPr>
    </w:p>
    <w:p w:rsidR="00861E46" w:rsidRDefault="00D2036D">
      <w:pPr>
        <w:tabs>
          <w:tab w:val="right" w:pos="0"/>
          <w:tab w:val="left" w:pos="708"/>
        </w:tabs>
        <w:spacing w:line="360" w:lineRule="auto"/>
        <w:ind w:firstLine="0"/>
        <w:jc w:val="left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Глава местного самоуправления </w:t>
      </w:r>
      <w:r>
        <w:rPr>
          <w:rFonts w:eastAsia="Times New Roman"/>
          <w:szCs w:val="24"/>
          <w:lang w:eastAsia="ru-RU"/>
        </w:rPr>
        <w:tab/>
      </w:r>
      <w:r>
        <w:rPr>
          <w:rFonts w:eastAsia="Times New Roman"/>
          <w:szCs w:val="24"/>
          <w:lang w:eastAsia="ru-RU"/>
        </w:rPr>
        <w:tab/>
      </w:r>
      <w:r>
        <w:rPr>
          <w:rFonts w:eastAsia="Times New Roman"/>
          <w:szCs w:val="24"/>
          <w:lang w:eastAsia="ru-RU"/>
        </w:rPr>
        <w:tab/>
      </w:r>
      <w:r>
        <w:rPr>
          <w:rFonts w:eastAsia="Times New Roman"/>
          <w:szCs w:val="24"/>
          <w:lang w:eastAsia="ru-RU"/>
        </w:rPr>
        <w:tab/>
      </w:r>
      <w:r>
        <w:rPr>
          <w:rFonts w:eastAsia="Times New Roman"/>
          <w:szCs w:val="24"/>
          <w:lang w:eastAsia="ru-RU"/>
        </w:rPr>
        <w:tab/>
      </w:r>
      <w:r>
        <w:rPr>
          <w:rFonts w:eastAsia="Times New Roman"/>
          <w:szCs w:val="24"/>
          <w:lang w:eastAsia="ru-RU"/>
        </w:rPr>
        <w:tab/>
      </w:r>
      <w:r>
        <w:rPr>
          <w:rFonts w:eastAsia="Times New Roman"/>
          <w:szCs w:val="24"/>
          <w:lang w:eastAsia="ru-RU"/>
        </w:rPr>
        <w:tab/>
        <w:t xml:space="preserve"> </w:t>
      </w:r>
      <w:proofErr w:type="spellStart"/>
      <w:r>
        <w:rPr>
          <w:rFonts w:eastAsia="Times New Roman"/>
          <w:szCs w:val="24"/>
          <w:lang w:eastAsia="ru-RU"/>
        </w:rPr>
        <w:t>А.Н.Галкин</w:t>
      </w:r>
      <w:proofErr w:type="spellEnd"/>
    </w:p>
    <w:p w:rsidR="00861E46" w:rsidRDefault="00861E46">
      <w:pPr>
        <w:autoSpaceDN/>
        <w:ind w:firstLine="0"/>
        <w:jc w:val="left"/>
        <w:rPr>
          <w:rFonts w:eastAsia="Times New Roman"/>
          <w:szCs w:val="24"/>
          <w:lang w:eastAsia="ru-RU"/>
        </w:rPr>
        <w:sectPr w:rsidR="00861E46">
          <w:pgSz w:w="11906" w:h="16838"/>
          <w:pgMar w:top="1134" w:right="850" w:bottom="851" w:left="1418" w:header="708" w:footer="708" w:gutter="0"/>
          <w:pgNumType w:start="1"/>
          <w:cols w:space="708"/>
          <w:titlePg/>
          <w:docGrid w:linePitch="360"/>
        </w:sectPr>
      </w:pPr>
    </w:p>
    <w:p w:rsidR="00861E46" w:rsidRDefault="00D2036D">
      <w:pPr>
        <w:ind w:firstLine="0"/>
        <w:jc w:val="right"/>
        <w:outlineLvl w:val="4"/>
        <w:rPr>
          <w:rFonts w:eastAsia="Times New Roman"/>
          <w:bCs/>
          <w:iCs/>
          <w:szCs w:val="24"/>
          <w:lang w:eastAsia="ru-RU"/>
        </w:rPr>
      </w:pPr>
      <w:r>
        <w:rPr>
          <w:rFonts w:eastAsia="Times New Roman"/>
          <w:bCs/>
          <w:iCs/>
          <w:szCs w:val="24"/>
          <w:lang w:eastAsia="ru-RU"/>
        </w:rPr>
        <w:lastRenderedPageBreak/>
        <w:t>Одобрен</w:t>
      </w:r>
    </w:p>
    <w:p w:rsidR="00861E46" w:rsidRDefault="00D2036D">
      <w:pPr>
        <w:ind w:firstLine="0"/>
        <w:jc w:val="right"/>
        <w:outlineLvl w:val="4"/>
        <w:rPr>
          <w:rFonts w:eastAsia="Times New Roman"/>
          <w:bCs/>
          <w:iCs/>
          <w:szCs w:val="24"/>
          <w:lang w:eastAsia="ru-RU"/>
        </w:rPr>
      </w:pPr>
      <w:r>
        <w:rPr>
          <w:rFonts w:eastAsia="Times New Roman"/>
          <w:bCs/>
          <w:iCs/>
          <w:szCs w:val="24"/>
          <w:lang w:eastAsia="ru-RU"/>
        </w:rPr>
        <w:t xml:space="preserve"> постановлением администрации </w:t>
      </w:r>
    </w:p>
    <w:p w:rsidR="00861E46" w:rsidRDefault="00D2036D">
      <w:pPr>
        <w:ind w:firstLine="0"/>
        <w:jc w:val="right"/>
        <w:outlineLvl w:val="4"/>
        <w:rPr>
          <w:rFonts w:eastAsia="Times New Roman"/>
          <w:bCs/>
          <w:iCs/>
          <w:szCs w:val="24"/>
          <w:lang w:eastAsia="ru-RU"/>
        </w:rPr>
      </w:pPr>
      <w:r>
        <w:rPr>
          <w:rFonts w:eastAsia="Times New Roman"/>
          <w:bCs/>
          <w:iCs/>
          <w:szCs w:val="24"/>
          <w:lang w:eastAsia="ru-RU"/>
        </w:rPr>
        <w:t xml:space="preserve"> Балахнинского муниципального</w:t>
      </w:r>
    </w:p>
    <w:p w:rsidR="00861E46" w:rsidRDefault="00D2036D">
      <w:pPr>
        <w:ind w:firstLine="0"/>
        <w:jc w:val="right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округа Нижегородской области</w:t>
      </w:r>
    </w:p>
    <w:p w:rsidR="00861E46" w:rsidRDefault="00D2036D">
      <w:pPr>
        <w:ind w:firstLine="0"/>
        <w:jc w:val="right"/>
        <w:outlineLvl w:val="4"/>
        <w:rPr>
          <w:rFonts w:eastAsia="Times New Roman"/>
          <w:bCs/>
          <w:iCs/>
          <w:szCs w:val="24"/>
          <w:lang w:eastAsia="ru-RU"/>
        </w:rPr>
      </w:pPr>
      <w:r>
        <w:rPr>
          <w:rFonts w:eastAsia="Times New Roman"/>
          <w:bCs/>
          <w:iCs/>
          <w:szCs w:val="24"/>
          <w:lang w:eastAsia="ru-RU"/>
        </w:rPr>
        <w:t xml:space="preserve"> от 11.11.2021 № 2103 </w:t>
      </w:r>
    </w:p>
    <w:p w:rsidR="00861E46" w:rsidRDefault="00861E46">
      <w:pPr>
        <w:ind w:firstLine="0"/>
        <w:jc w:val="center"/>
        <w:rPr>
          <w:rFonts w:eastAsia="Times New Roman"/>
          <w:sz w:val="28"/>
          <w:szCs w:val="24"/>
          <w:lang w:eastAsia="ru-RU"/>
        </w:rPr>
      </w:pPr>
    </w:p>
    <w:p w:rsidR="00861E46" w:rsidRDefault="00861E46">
      <w:pPr>
        <w:ind w:firstLine="0"/>
        <w:jc w:val="center"/>
        <w:rPr>
          <w:rFonts w:eastAsia="Times New Roman"/>
          <w:color w:val="FF0000"/>
          <w:sz w:val="28"/>
          <w:szCs w:val="24"/>
          <w:lang w:eastAsia="ru-RU"/>
        </w:rPr>
      </w:pPr>
    </w:p>
    <w:p w:rsidR="00861E46" w:rsidRDefault="00D2036D">
      <w:pPr>
        <w:autoSpaceDE w:val="0"/>
        <w:adjustRightInd w:val="0"/>
        <w:jc w:val="center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 xml:space="preserve">Прогноз социально-экономического развития Балахнинского муниципального округа на среднесрочный период </w:t>
      </w:r>
      <w:r>
        <w:rPr>
          <w:rFonts w:eastAsia="Times New Roman"/>
          <w:b/>
          <w:sz w:val="28"/>
          <w:szCs w:val="28"/>
          <w:lang w:eastAsia="ru-RU"/>
        </w:rPr>
        <w:t>(на 2022 год и на плановый период 2023 и 2024 годы)</w:t>
      </w:r>
    </w:p>
    <w:p w:rsidR="00861E46" w:rsidRDefault="00861E46">
      <w:pPr>
        <w:ind w:firstLine="0"/>
        <w:jc w:val="center"/>
        <w:rPr>
          <w:rFonts w:eastAsia="Times New Roman"/>
          <w:sz w:val="28"/>
          <w:szCs w:val="28"/>
          <w:lang w:eastAsia="ru-RU"/>
        </w:rPr>
      </w:pPr>
    </w:p>
    <w:p w:rsidR="00861E46" w:rsidRDefault="00D2036D">
      <w:pPr>
        <w:autoSpaceDE w:val="0"/>
        <w:adjustRightInd w:val="0"/>
        <w:ind w:firstLine="567"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Cs/>
          <w:sz w:val="28"/>
          <w:szCs w:val="28"/>
          <w:lang w:eastAsia="ru-RU"/>
        </w:rPr>
        <w:t xml:space="preserve">Прогноз социально-экономического развития Балахнинского муниципального округа на среднесрочный период (на 2022 год и на плановый период 2023 и 2024 годы) (далее – Прогноз) разработан в соответствии с макроэкономическими пропорциями развития Нижегородской области и методическими указаниями Министерства экономического развития и инвестиций Нижегородской области от 24.05.2021 года №50. </w:t>
      </w:r>
    </w:p>
    <w:p w:rsidR="00861E46" w:rsidRDefault="00D2036D">
      <w:pPr>
        <w:widowControl w:val="0"/>
        <w:autoSpaceDE w:val="0"/>
        <w:adjustRightInd w:val="0"/>
        <w:ind w:firstLine="567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Информационная база формирования прогноза:</w:t>
      </w:r>
    </w:p>
    <w:p w:rsidR="00861E46" w:rsidRDefault="00D2036D">
      <w:pPr>
        <w:widowControl w:val="0"/>
        <w:autoSpaceDE w:val="0"/>
        <w:adjustRightInd w:val="0"/>
        <w:ind w:firstLine="567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- данные статистического учета за 2020 год и 1 полугодие 2021 года;</w:t>
      </w:r>
    </w:p>
    <w:p w:rsidR="00861E46" w:rsidRDefault="00D2036D">
      <w:pPr>
        <w:widowControl w:val="0"/>
        <w:autoSpaceDE w:val="0"/>
        <w:adjustRightInd w:val="0"/>
        <w:ind w:firstLine="567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- сложившаяся в районе социально-экономическая ситуация;</w:t>
      </w:r>
    </w:p>
    <w:p w:rsidR="00861E46" w:rsidRDefault="00D2036D">
      <w:pPr>
        <w:widowControl w:val="0"/>
        <w:autoSpaceDE w:val="0"/>
        <w:adjustRightInd w:val="0"/>
        <w:ind w:firstLine="567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- прогноз крупных и средних предприятий, расположенных на территории Балахнинского муниципального округа Нижегородской области;</w:t>
      </w:r>
    </w:p>
    <w:p w:rsidR="00861E46" w:rsidRDefault="00D2036D">
      <w:pPr>
        <w:widowControl w:val="0"/>
        <w:autoSpaceDE w:val="0"/>
        <w:adjustRightInd w:val="0"/>
        <w:ind w:firstLine="567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- реализации инвестиционных проектов крупных и средних предприятий.</w:t>
      </w:r>
    </w:p>
    <w:p w:rsidR="00861E46" w:rsidRDefault="00D2036D">
      <w:pPr>
        <w:widowControl w:val="0"/>
        <w:autoSpaceDE w:val="0"/>
        <w:adjustRightInd w:val="0"/>
        <w:ind w:firstLine="567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Прогноз – сбалансированная система ожидаемых в перспективе показателей социально-экономического развития Балахнинского муниципального округа Нижегородской области, которые используются при принятии конкретных решений в управлении развитием экономики округа.</w:t>
      </w:r>
    </w:p>
    <w:p w:rsidR="00861E46" w:rsidRDefault="00D2036D">
      <w:pPr>
        <w:ind w:firstLine="567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Прогноз по основным </w:t>
      </w:r>
      <w:proofErr w:type="spellStart"/>
      <w:r>
        <w:rPr>
          <w:rFonts w:eastAsia="Times New Roman"/>
          <w:sz w:val="28"/>
          <w:szCs w:val="28"/>
          <w:lang w:eastAsia="ru-RU"/>
        </w:rPr>
        <w:t>бюджетообразующим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 показателям сформирован с учетом намерений крупных и средних предприятий, расположенных на территории Балахнинского муниципального округа Нижегородской области. </w:t>
      </w:r>
    </w:p>
    <w:p w:rsidR="00861E46" w:rsidRDefault="00D2036D">
      <w:pPr>
        <w:ind w:firstLine="567"/>
        <w:rPr>
          <w:rFonts w:eastAsia="Times New Roman"/>
          <w:sz w:val="28"/>
          <w:szCs w:val="28"/>
          <w:lang w:eastAsia="ru-RU"/>
        </w:rPr>
      </w:pPr>
      <w:proofErr w:type="gramStart"/>
      <w:r>
        <w:rPr>
          <w:rFonts w:eastAsia="Times New Roman"/>
          <w:sz w:val="28"/>
          <w:szCs w:val="28"/>
          <w:lang w:eastAsia="ru-RU"/>
        </w:rPr>
        <w:t xml:space="preserve">Согласованные с Министерством экономического развития и инвестиций Нижегородской области </w:t>
      </w:r>
      <w:proofErr w:type="spellStart"/>
      <w:r>
        <w:rPr>
          <w:rFonts w:eastAsia="Times New Roman"/>
          <w:sz w:val="28"/>
          <w:szCs w:val="28"/>
          <w:lang w:eastAsia="ru-RU"/>
        </w:rPr>
        <w:t>бюджетообразующие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 показатели (объем отгрузки, фонд оплаты труда, прибыль прибыльных организаций, розничный товарооборот, амортизационные отчисления) являются основой для формирования бюджета Балахнинского муниципального округа Нижегородской области на среднесрочный период 2022 год и на плановый период 2023 и 2024 годы.</w:t>
      </w:r>
      <w:proofErr w:type="gramEnd"/>
    </w:p>
    <w:p w:rsidR="00861E46" w:rsidRDefault="00861E46">
      <w:pPr>
        <w:ind w:firstLine="567"/>
        <w:jc w:val="left"/>
        <w:rPr>
          <w:rFonts w:eastAsia="Times New Roman"/>
          <w:sz w:val="28"/>
          <w:szCs w:val="28"/>
          <w:lang w:eastAsia="ru-RU"/>
        </w:rPr>
      </w:pPr>
    </w:p>
    <w:p w:rsidR="00861E46" w:rsidRDefault="00D2036D">
      <w:pPr>
        <w:tabs>
          <w:tab w:val="left" w:pos="0"/>
          <w:tab w:val="left" w:pos="900"/>
          <w:tab w:val="left" w:pos="993"/>
          <w:tab w:val="num" w:pos="1418"/>
        </w:tabs>
        <w:ind w:firstLine="567"/>
        <w:jc w:val="left"/>
        <w:rPr>
          <w:rFonts w:eastAsia="Times New Roman"/>
          <w:b/>
          <w:sz w:val="28"/>
          <w:szCs w:val="28"/>
          <w:lang w:eastAsia="ru-RU"/>
        </w:rPr>
      </w:pPr>
      <w:bookmarkStart w:id="1" w:name="_Toc270337812"/>
      <w:bookmarkStart w:id="2" w:name="_Toc271878079"/>
      <w:r>
        <w:rPr>
          <w:rFonts w:eastAsia="Times New Roman"/>
          <w:b/>
          <w:sz w:val="28"/>
          <w:szCs w:val="28"/>
          <w:lang w:eastAsia="ru-RU"/>
        </w:rPr>
        <w:t>1. Прогноз социально-экономического развития Балахнинского муниципального округа на среднесрочный период (на 2022 год и на плановый период 2023 и 2024 годы)</w:t>
      </w:r>
    </w:p>
    <w:p w:rsidR="00861E46" w:rsidRDefault="00861E46">
      <w:pPr>
        <w:tabs>
          <w:tab w:val="num" w:pos="0"/>
        </w:tabs>
        <w:ind w:firstLine="567"/>
        <w:jc w:val="left"/>
        <w:rPr>
          <w:rFonts w:eastAsia="Times New Roman"/>
          <w:b/>
          <w:sz w:val="26"/>
          <w:szCs w:val="26"/>
          <w:lang w:eastAsia="ru-RU"/>
        </w:rPr>
      </w:pPr>
    </w:p>
    <w:p w:rsidR="00861E46" w:rsidRDefault="00861E46">
      <w:pPr>
        <w:ind w:firstLine="0"/>
        <w:jc w:val="center"/>
        <w:rPr>
          <w:rFonts w:eastAsia="Times New Roman"/>
          <w:b/>
          <w:sz w:val="26"/>
          <w:szCs w:val="26"/>
          <w:lang w:eastAsia="ru-RU"/>
        </w:rPr>
      </w:pPr>
    </w:p>
    <w:p w:rsidR="00861E46" w:rsidRDefault="00861E46">
      <w:pPr>
        <w:ind w:firstLine="0"/>
        <w:jc w:val="center"/>
        <w:rPr>
          <w:rFonts w:eastAsia="Times New Roman"/>
          <w:b/>
          <w:sz w:val="26"/>
          <w:szCs w:val="26"/>
          <w:lang w:eastAsia="ru-RU"/>
        </w:rPr>
      </w:pPr>
    </w:p>
    <w:p w:rsidR="00861E46" w:rsidRDefault="00861E46">
      <w:pPr>
        <w:autoSpaceDN/>
        <w:ind w:firstLine="0"/>
        <w:jc w:val="left"/>
        <w:rPr>
          <w:rFonts w:eastAsia="Times New Roman"/>
          <w:b/>
          <w:sz w:val="26"/>
          <w:szCs w:val="26"/>
          <w:lang w:eastAsia="ru-RU"/>
        </w:rPr>
        <w:sectPr w:rsidR="00861E46">
          <w:headerReference w:type="even" r:id="rId10"/>
          <w:headerReference w:type="default" r:id="rId11"/>
          <w:footerReference w:type="even" r:id="rId12"/>
          <w:footerReference w:type="default" r:id="rId13"/>
          <w:pgSz w:w="11906" w:h="16838"/>
          <w:pgMar w:top="1134" w:right="567" w:bottom="1134" w:left="1134" w:header="709" w:footer="709" w:gutter="0"/>
          <w:cols w:space="720"/>
          <w:titlePg/>
        </w:sectPr>
      </w:pPr>
    </w:p>
    <w:p w:rsidR="00861E46" w:rsidRDefault="00D2036D">
      <w:pPr>
        <w:ind w:firstLine="0"/>
        <w:jc w:val="center"/>
        <w:rPr>
          <w:rFonts w:eastAsia="Times New Roman"/>
          <w:b/>
          <w:sz w:val="26"/>
          <w:szCs w:val="26"/>
          <w:lang w:eastAsia="ru-RU"/>
        </w:rPr>
      </w:pPr>
      <w:r>
        <w:rPr>
          <w:rFonts w:eastAsia="Times New Roman"/>
          <w:b/>
          <w:sz w:val="26"/>
          <w:szCs w:val="26"/>
          <w:lang w:eastAsia="ru-RU"/>
        </w:rPr>
        <w:lastRenderedPageBreak/>
        <w:t xml:space="preserve">Основные </w:t>
      </w:r>
      <w:proofErr w:type="spellStart"/>
      <w:r>
        <w:rPr>
          <w:rFonts w:eastAsia="Times New Roman"/>
          <w:b/>
          <w:sz w:val="26"/>
          <w:szCs w:val="26"/>
          <w:lang w:eastAsia="ru-RU"/>
        </w:rPr>
        <w:t>бюджетообразующие</w:t>
      </w:r>
      <w:proofErr w:type="spellEnd"/>
      <w:r>
        <w:rPr>
          <w:rFonts w:eastAsia="Times New Roman"/>
          <w:b/>
          <w:sz w:val="26"/>
          <w:szCs w:val="26"/>
          <w:lang w:eastAsia="ru-RU"/>
        </w:rPr>
        <w:t xml:space="preserve"> показатели</w:t>
      </w:r>
    </w:p>
    <w:p w:rsidR="00861E46" w:rsidRDefault="00861E46">
      <w:pPr>
        <w:ind w:firstLine="0"/>
        <w:jc w:val="center"/>
        <w:rPr>
          <w:rFonts w:eastAsia="Times New Roman"/>
          <w:b/>
          <w:sz w:val="26"/>
          <w:szCs w:val="26"/>
          <w:lang w:eastAsia="ru-RU"/>
        </w:rPr>
      </w:pPr>
    </w:p>
    <w:tbl>
      <w:tblPr>
        <w:tblW w:w="101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567"/>
        <w:gridCol w:w="924"/>
        <w:gridCol w:w="897"/>
        <w:gridCol w:w="1014"/>
        <w:gridCol w:w="910"/>
        <w:gridCol w:w="1008"/>
      </w:tblGrid>
      <w:tr w:rsidR="00861E46">
        <w:trPr>
          <w:trHeight w:val="654"/>
          <w:tblHeader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b/>
                <w:sz w:val="22"/>
                <w:lang w:eastAsia="ru-RU"/>
              </w:rPr>
            </w:pPr>
            <w:r>
              <w:rPr>
                <w:rFonts w:eastAsia="Times New Roman"/>
                <w:b/>
                <w:sz w:val="22"/>
                <w:lang w:eastAsia="ru-RU"/>
              </w:rPr>
              <w:t>Показатели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E46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b/>
                <w:sz w:val="22"/>
                <w:lang w:eastAsia="ru-RU"/>
              </w:rPr>
            </w:pPr>
            <w:r>
              <w:rPr>
                <w:rFonts w:eastAsia="Times New Roman"/>
                <w:b/>
                <w:sz w:val="22"/>
                <w:lang w:eastAsia="ru-RU"/>
              </w:rPr>
              <w:t>Ед. изм.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b/>
                <w:sz w:val="22"/>
                <w:lang w:eastAsia="ru-RU"/>
              </w:rPr>
            </w:pPr>
            <w:proofErr w:type="spellStart"/>
            <w:r>
              <w:rPr>
                <w:rFonts w:eastAsia="Times New Roman"/>
                <w:b/>
                <w:sz w:val="22"/>
                <w:lang w:eastAsia="ru-RU"/>
              </w:rPr>
              <w:t>2020г</w:t>
            </w:r>
            <w:proofErr w:type="spellEnd"/>
            <w:r>
              <w:rPr>
                <w:rFonts w:eastAsia="Times New Roman"/>
                <w:b/>
                <w:sz w:val="22"/>
                <w:lang w:eastAsia="ru-RU"/>
              </w:rPr>
              <w:t>. факт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left="-70" w:right="-70" w:firstLine="0"/>
              <w:jc w:val="center"/>
              <w:rPr>
                <w:rFonts w:eastAsia="Times New Roman"/>
                <w:b/>
                <w:sz w:val="22"/>
                <w:lang w:eastAsia="ru-RU"/>
              </w:rPr>
            </w:pPr>
            <w:proofErr w:type="spellStart"/>
            <w:r>
              <w:rPr>
                <w:rFonts w:eastAsia="Times New Roman"/>
                <w:b/>
                <w:sz w:val="22"/>
                <w:lang w:eastAsia="ru-RU"/>
              </w:rPr>
              <w:t>2021г</w:t>
            </w:r>
            <w:proofErr w:type="spellEnd"/>
            <w:r>
              <w:rPr>
                <w:rFonts w:eastAsia="Times New Roman"/>
                <w:b/>
                <w:sz w:val="22"/>
                <w:lang w:eastAsia="ru-RU"/>
              </w:rPr>
              <w:t>.</w:t>
            </w:r>
          </w:p>
          <w:p w:rsidR="00861E46" w:rsidRDefault="00D2036D">
            <w:pPr>
              <w:spacing w:line="254" w:lineRule="auto"/>
              <w:ind w:left="-70" w:right="-70" w:firstLine="0"/>
              <w:jc w:val="center"/>
              <w:rPr>
                <w:rFonts w:eastAsia="Times New Roman"/>
                <w:b/>
                <w:sz w:val="22"/>
                <w:lang w:eastAsia="ru-RU"/>
              </w:rPr>
            </w:pPr>
            <w:r>
              <w:rPr>
                <w:rFonts w:eastAsia="Times New Roman"/>
                <w:b/>
                <w:sz w:val="22"/>
                <w:lang w:eastAsia="ru-RU"/>
              </w:rPr>
              <w:t>оценка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left="-70" w:right="-70" w:firstLine="0"/>
              <w:jc w:val="center"/>
              <w:rPr>
                <w:rFonts w:eastAsia="Times New Roman"/>
                <w:b/>
                <w:sz w:val="22"/>
                <w:lang w:eastAsia="ru-RU"/>
              </w:rPr>
            </w:pPr>
            <w:proofErr w:type="spellStart"/>
            <w:r>
              <w:rPr>
                <w:rFonts w:eastAsia="Times New Roman"/>
                <w:b/>
                <w:sz w:val="22"/>
                <w:lang w:eastAsia="ru-RU"/>
              </w:rPr>
              <w:t>2022г</w:t>
            </w:r>
            <w:proofErr w:type="spellEnd"/>
            <w:r>
              <w:rPr>
                <w:rFonts w:eastAsia="Times New Roman"/>
                <w:b/>
                <w:sz w:val="22"/>
                <w:lang w:eastAsia="ru-RU"/>
              </w:rPr>
              <w:t>.</w:t>
            </w:r>
          </w:p>
          <w:p w:rsidR="00861E46" w:rsidRDefault="00D2036D">
            <w:pPr>
              <w:spacing w:line="254" w:lineRule="auto"/>
              <w:ind w:left="-70" w:right="-70" w:firstLine="0"/>
              <w:jc w:val="center"/>
              <w:rPr>
                <w:rFonts w:eastAsia="Times New Roman"/>
                <w:b/>
                <w:sz w:val="22"/>
                <w:lang w:eastAsia="ru-RU"/>
              </w:rPr>
            </w:pPr>
            <w:r>
              <w:rPr>
                <w:rFonts w:eastAsia="Times New Roman"/>
                <w:b/>
                <w:sz w:val="22"/>
                <w:lang w:eastAsia="ru-RU"/>
              </w:rPr>
              <w:t>прогноз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left="-70" w:right="-70" w:firstLine="0"/>
              <w:jc w:val="center"/>
              <w:rPr>
                <w:rFonts w:eastAsia="Times New Roman"/>
                <w:b/>
                <w:sz w:val="22"/>
                <w:lang w:eastAsia="ru-RU"/>
              </w:rPr>
            </w:pPr>
            <w:proofErr w:type="spellStart"/>
            <w:r>
              <w:rPr>
                <w:rFonts w:eastAsia="Times New Roman"/>
                <w:b/>
                <w:sz w:val="22"/>
                <w:lang w:eastAsia="ru-RU"/>
              </w:rPr>
              <w:t>2023г</w:t>
            </w:r>
            <w:proofErr w:type="spellEnd"/>
            <w:r>
              <w:rPr>
                <w:rFonts w:eastAsia="Times New Roman"/>
                <w:b/>
                <w:sz w:val="22"/>
                <w:lang w:eastAsia="ru-RU"/>
              </w:rPr>
              <w:t>.</w:t>
            </w:r>
          </w:p>
          <w:p w:rsidR="00861E46" w:rsidRDefault="00D2036D">
            <w:pPr>
              <w:spacing w:line="254" w:lineRule="auto"/>
              <w:ind w:left="-70" w:right="-70" w:firstLine="0"/>
              <w:jc w:val="center"/>
              <w:rPr>
                <w:rFonts w:eastAsia="Times New Roman"/>
                <w:b/>
                <w:sz w:val="22"/>
                <w:lang w:eastAsia="ru-RU"/>
              </w:rPr>
            </w:pPr>
            <w:r>
              <w:rPr>
                <w:rFonts w:eastAsia="Times New Roman"/>
                <w:b/>
                <w:sz w:val="22"/>
                <w:lang w:eastAsia="ru-RU"/>
              </w:rPr>
              <w:t>прогноз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left="-70" w:right="-70" w:firstLine="0"/>
              <w:jc w:val="center"/>
              <w:rPr>
                <w:rFonts w:eastAsia="Times New Roman"/>
                <w:b/>
                <w:sz w:val="22"/>
                <w:lang w:eastAsia="ru-RU"/>
              </w:rPr>
            </w:pPr>
            <w:proofErr w:type="spellStart"/>
            <w:r>
              <w:rPr>
                <w:rFonts w:eastAsia="Times New Roman"/>
                <w:b/>
                <w:sz w:val="22"/>
                <w:lang w:eastAsia="ru-RU"/>
              </w:rPr>
              <w:t>2024г</w:t>
            </w:r>
            <w:proofErr w:type="spellEnd"/>
            <w:r>
              <w:rPr>
                <w:rFonts w:eastAsia="Times New Roman"/>
                <w:b/>
                <w:sz w:val="22"/>
                <w:lang w:eastAsia="ru-RU"/>
              </w:rPr>
              <w:t>.</w:t>
            </w:r>
          </w:p>
          <w:p w:rsidR="00861E46" w:rsidRDefault="00D2036D">
            <w:pPr>
              <w:spacing w:line="254" w:lineRule="auto"/>
              <w:ind w:left="-70" w:right="-70" w:firstLine="0"/>
              <w:jc w:val="center"/>
              <w:rPr>
                <w:rFonts w:eastAsia="Times New Roman"/>
                <w:b/>
                <w:sz w:val="22"/>
                <w:lang w:eastAsia="ru-RU"/>
              </w:rPr>
            </w:pPr>
            <w:r>
              <w:rPr>
                <w:rFonts w:eastAsia="Times New Roman"/>
                <w:b/>
                <w:sz w:val="22"/>
                <w:lang w:eastAsia="ru-RU"/>
              </w:rPr>
              <w:t>прогноз</w:t>
            </w:r>
          </w:p>
        </w:tc>
      </w:tr>
      <w:tr w:rsidR="00861E46">
        <w:trPr>
          <w:trHeight w:val="895"/>
          <w:tblHeader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firstLine="0"/>
              <w:jc w:val="left"/>
              <w:rPr>
                <w:rFonts w:eastAsia="Times New Roman"/>
                <w:b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b/>
                <w:szCs w:val="24"/>
                <w:lang w:eastAsia="ru-RU"/>
              </w:rPr>
              <w:t>1.Отгружено</w:t>
            </w:r>
            <w:proofErr w:type="spellEnd"/>
            <w:r>
              <w:rPr>
                <w:rFonts w:eastAsia="Times New Roman"/>
                <w:b/>
                <w:szCs w:val="24"/>
                <w:lang w:eastAsia="ru-RU"/>
              </w:rPr>
              <w:t xml:space="preserve"> товаров собственного производства, выполнено работ и услуг собственными силами (по полному кругу предприятий) в действующих ценах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млн. руб.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26132,48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left="-70" w:right="-70"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28 938,78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left="-70" w:right="-70"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31433,09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left="-70" w:right="-70"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33515,31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left="-70" w:right="-70"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35985,33</w:t>
            </w:r>
          </w:p>
        </w:tc>
      </w:tr>
      <w:tr w:rsidR="00861E46">
        <w:trPr>
          <w:trHeight w:val="297"/>
          <w:tblHeader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tabs>
                <w:tab w:val="num" w:pos="110"/>
                <w:tab w:val="left" w:pos="650"/>
              </w:tabs>
              <w:spacing w:line="254" w:lineRule="auto"/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 темп роста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%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91,91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110,74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108,62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106,62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107,37</w:t>
            </w:r>
          </w:p>
        </w:tc>
      </w:tr>
      <w:tr w:rsidR="00861E46">
        <w:trPr>
          <w:trHeight w:val="1080"/>
          <w:tblHeader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tabs>
                <w:tab w:val="num" w:pos="110"/>
                <w:tab w:val="left" w:pos="650"/>
              </w:tabs>
              <w:spacing w:line="254" w:lineRule="auto"/>
              <w:ind w:firstLine="0"/>
              <w:jc w:val="left"/>
              <w:rPr>
                <w:rFonts w:eastAsia="Times New Roman"/>
                <w:b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b/>
                <w:szCs w:val="24"/>
                <w:lang w:eastAsia="ru-RU"/>
              </w:rPr>
              <w:t>2.Отгружено</w:t>
            </w:r>
            <w:proofErr w:type="spellEnd"/>
            <w:r>
              <w:rPr>
                <w:rFonts w:eastAsia="Times New Roman"/>
                <w:b/>
                <w:szCs w:val="24"/>
                <w:lang w:eastAsia="ru-RU"/>
              </w:rPr>
              <w:t xml:space="preserve"> товаров собственного производства, выполнено работ и услуг собственными силами (по крупным и средним предприятиям) в действующих ценах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млн. руб.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22936,09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25714,32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28086,10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30034,44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32365,22</w:t>
            </w:r>
          </w:p>
        </w:tc>
      </w:tr>
      <w:tr w:rsidR="00861E46">
        <w:trPr>
          <w:trHeight w:hRule="exact" w:val="537"/>
          <w:tblHeader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tabs>
                <w:tab w:val="num" w:pos="470"/>
                <w:tab w:val="left" w:pos="650"/>
              </w:tabs>
              <w:spacing w:line="254" w:lineRule="auto"/>
              <w:ind w:firstLine="0"/>
              <w:jc w:val="left"/>
              <w:rPr>
                <w:rFonts w:eastAsia="Times New Roman"/>
                <w:i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в т. ч</w:t>
            </w:r>
            <w:r>
              <w:rPr>
                <w:rFonts w:eastAsia="Times New Roman"/>
                <w:b/>
                <w:szCs w:val="24"/>
                <w:lang w:eastAsia="ru-RU"/>
              </w:rPr>
              <w:t xml:space="preserve">. </w:t>
            </w:r>
            <w:r>
              <w:rPr>
                <w:rFonts w:eastAsia="Times New Roman"/>
                <w:b/>
                <w:i/>
                <w:szCs w:val="24"/>
                <w:lang w:eastAsia="ru-RU"/>
              </w:rPr>
              <w:t>обрабатывающие производства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млн.</w:t>
            </w:r>
          </w:p>
          <w:p w:rsidR="00861E46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руб.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20058,14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23031,20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25282,50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27102,84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29298,17</w:t>
            </w:r>
          </w:p>
        </w:tc>
      </w:tr>
      <w:tr w:rsidR="00861E46">
        <w:trPr>
          <w:cantSplit/>
          <w:trHeight w:hRule="exact" w:val="1597"/>
          <w:tblHeader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firstLine="0"/>
              <w:jc w:val="left"/>
              <w:rPr>
                <w:rFonts w:eastAsia="Times New Roman"/>
                <w:b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b/>
                <w:szCs w:val="24"/>
                <w:lang w:eastAsia="ru-RU"/>
              </w:rPr>
              <w:t>3.Валовая</w:t>
            </w:r>
            <w:proofErr w:type="spellEnd"/>
            <w:r>
              <w:rPr>
                <w:rFonts w:eastAsia="Times New Roman"/>
                <w:b/>
                <w:szCs w:val="24"/>
                <w:lang w:eastAsia="ru-RU"/>
              </w:rPr>
              <w:t xml:space="preserve"> продукция сельского хозяйства (хозяйства всех категорий: сельскохозяйственные предприятия, хозяйства населения, КФХ) в действующих ценах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E46" w:rsidRDefault="00861E46">
            <w:pPr>
              <w:spacing w:line="254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</w:p>
          <w:p w:rsidR="00861E46" w:rsidRDefault="00861E46">
            <w:pPr>
              <w:spacing w:line="254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</w:p>
          <w:p w:rsidR="00861E46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млн.</w:t>
            </w:r>
          </w:p>
          <w:p w:rsidR="00861E46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руб.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842,10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871,8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917,7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973,5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1035,8</w:t>
            </w:r>
          </w:p>
        </w:tc>
      </w:tr>
      <w:tr w:rsidR="00861E46">
        <w:trPr>
          <w:cantSplit/>
          <w:trHeight w:hRule="exact" w:val="614"/>
          <w:tblHeader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в том числе валовая продукция сельского хозяйства по сельхозпредприятиям </w:t>
            </w:r>
            <w:proofErr w:type="spellStart"/>
            <w:r>
              <w:rPr>
                <w:rFonts w:eastAsia="Times New Roman"/>
                <w:szCs w:val="24"/>
                <w:lang w:eastAsia="ru-RU"/>
              </w:rPr>
              <w:t>млн</w:t>
            </w:r>
            <w:proofErr w:type="gramStart"/>
            <w:r>
              <w:rPr>
                <w:rFonts w:eastAsia="Times New Roman"/>
                <w:szCs w:val="24"/>
                <w:lang w:eastAsia="ru-RU"/>
              </w:rPr>
              <w:t>.р</w:t>
            </w:r>
            <w:proofErr w:type="gramEnd"/>
            <w:r>
              <w:rPr>
                <w:rFonts w:eastAsia="Times New Roman"/>
                <w:szCs w:val="24"/>
                <w:lang w:eastAsia="ru-RU"/>
              </w:rPr>
              <w:t>уб</w:t>
            </w:r>
            <w:proofErr w:type="spellEnd"/>
            <w:r>
              <w:rPr>
                <w:rFonts w:eastAsia="Times New Roman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млн.</w:t>
            </w:r>
          </w:p>
          <w:p w:rsidR="00861E46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руб.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235,00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213,30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225,20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224,10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256,90</w:t>
            </w:r>
          </w:p>
        </w:tc>
      </w:tr>
      <w:tr w:rsidR="00861E46">
        <w:trPr>
          <w:cantSplit/>
          <w:trHeight w:val="467"/>
          <w:tblHeader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firstLine="0"/>
              <w:jc w:val="left"/>
              <w:rPr>
                <w:rFonts w:eastAsia="Times New Roman"/>
                <w:b/>
                <w:szCs w:val="24"/>
                <w:highlight w:val="yellow"/>
                <w:lang w:eastAsia="ru-RU"/>
              </w:rPr>
            </w:pPr>
            <w:r>
              <w:rPr>
                <w:rFonts w:eastAsia="Times New Roman"/>
                <w:b/>
                <w:szCs w:val="24"/>
                <w:lang w:eastAsia="ru-RU"/>
              </w:rPr>
              <w:t>4. Объем розничного товарооборота (во всех каналах реализации без учета объемов сокрытия) в действующих ценах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млн.</w:t>
            </w:r>
          </w:p>
          <w:p w:rsidR="00861E46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2"/>
                <w:highlight w:val="yellow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руб.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6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10108,36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6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10664,32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6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11069,56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6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11512,35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6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11972,84</w:t>
            </w:r>
          </w:p>
        </w:tc>
      </w:tr>
      <w:tr w:rsidR="00861E46">
        <w:trPr>
          <w:cantSplit/>
          <w:trHeight w:val="565"/>
          <w:tblHeader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firstLine="0"/>
              <w:jc w:val="left"/>
              <w:rPr>
                <w:rFonts w:eastAsia="Times New Roman"/>
                <w:b/>
                <w:szCs w:val="24"/>
                <w:lang w:eastAsia="ru-RU"/>
              </w:rPr>
            </w:pPr>
            <w:r>
              <w:rPr>
                <w:rFonts w:eastAsia="Times New Roman"/>
                <w:b/>
                <w:szCs w:val="24"/>
                <w:lang w:eastAsia="ru-RU"/>
              </w:rPr>
              <w:t>5. Объем платных услуг по крупным и средним организациям в действующих ценах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млн.</w:t>
            </w:r>
          </w:p>
          <w:p w:rsidR="00861E46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руб.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6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234,85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6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243,77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6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266,20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6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286,25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6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307,82</w:t>
            </w:r>
          </w:p>
        </w:tc>
      </w:tr>
      <w:tr w:rsidR="00861E46">
        <w:trPr>
          <w:cantSplit/>
          <w:trHeight w:val="578"/>
          <w:tblHeader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firstLine="0"/>
              <w:jc w:val="left"/>
              <w:rPr>
                <w:rFonts w:eastAsia="Times New Roman"/>
                <w:b/>
                <w:szCs w:val="24"/>
                <w:lang w:eastAsia="ru-RU"/>
              </w:rPr>
            </w:pPr>
            <w:r>
              <w:rPr>
                <w:rFonts w:eastAsia="Times New Roman"/>
                <w:b/>
                <w:szCs w:val="24"/>
                <w:lang w:eastAsia="ru-RU"/>
              </w:rPr>
              <w:t xml:space="preserve">6. Численность работников по территории, формирующих ФОТ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тыс.</w:t>
            </w:r>
          </w:p>
          <w:p w:rsidR="00861E46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чел.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2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0,732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2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1,548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21,548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21,548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21,548</w:t>
            </w:r>
          </w:p>
        </w:tc>
      </w:tr>
      <w:tr w:rsidR="00861E46">
        <w:trPr>
          <w:cantSplit/>
          <w:trHeight w:hRule="exact" w:val="572"/>
          <w:tblHeader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firstLine="0"/>
              <w:jc w:val="left"/>
              <w:rPr>
                <w:rFonts w:eastAsia="Times New Roman"/>
                <w:b/>
                <w:szCs w:val="24"/>
                <w:lang w:eastAsia="ru-RU"/>
              </w:rPr>
            </w:pPr>
            <w:r>
              <w:rPr>
                <w:rFonts w:eastAsia="Times New Roman"/>
                <w:b/>
                <w:szCs w:val="24"/>
                <w:lang w:eastAsia="ru-RU"/>
              </w:rPr>
              <w:t>7. Фонд заработной платы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млн.</w:t>
            </w:r>
          </w:p>
          <w:p w:rsidR="00861E46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руб.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7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427,72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8272,30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8824,70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9407,10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10028,00</w:t>
            </w:r>
          </w:p>
        </w:tc>
      </w:tr>
      <w:tr w:rsidR="00861E46">
        <w:trPr>
          <w:cantSplit/>
          <w:trHeight w:val="495"/>
          <w:tblHeader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 темп роста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%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 w:eastAsia="ru-RU"/>
              </w:rPr>
              <w:t>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4,40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 w:eastAsia="ru-RU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11,37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113,15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 w:eastAsia="ru-RU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13,30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 w:eastAsia="ru-RU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12,74</w:t>
            </w:r>
          </w:p>
        </w:tc>
      </w:tr>
      <w:tr w:rsidR="00861E46">
        <w:trPr>
          <w:cantSplit/>
          <w:trHeight w:val="495"/>
          <w:tblHeader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firstLine="0"/>
              <w:jc w:val="left"/>
              <w:rPr>
                <w:rFonts w:eastAsia="Times New Roman"/>
                <w:b/>
                <w:szCs w:val="24"/>
                <w:lang w:eastAsia="ru-RU"/>
              </w:rPr>
            </w:pPr>
            <w:r>
              <w:rPr>
                <w:rFonts w:eastAsia="Times New Roman"/>
                <w:b/>
                <w:szCs w:val="24"/>
                <w:lang w:eastAsia="ru-RU"/>
              </w:rPr>
              <w:t xml:space="preserve">8. Среднемесячная заработная плата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руб.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29854,65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2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9601,27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1991,75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left="-56" w:firstLine="5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4128,07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6175,75</w:t>
            </w:r>
          </w:p>
        </w:tc>
      </w:tr>
      <w:tr w:rsidR="00861E46">
        <w:trPr>
          <w:cantSplit/>
          <w:trHeight w:hRule="exact" w:val="397"/>
          <w:tblHeader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 темп роста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%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107,18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10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4,75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10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7,16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10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6,68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106.6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</w:tr>
      <w:tr w:rsidR="00861E46">
        <w:trPr>
          <w:cantSplit/>
          <w:trHeight w:hRule="exact" w:val="600"/>
          <w:tblHeader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firstLine="0"/>
              <w:jc w:val="left"/>
              <w:rPr>
                <w:rFonts w:eastAsia="Times New Roman"/>
                <w:b/>
                <w:szCs w:val="24"/>
                <w:lang w:eastAsia="ru-RU"/>
              </w:rPr>
            </w:pPr>
            <w:r>
              <w:rPr>
                <w:rFonts w:eastAsia="Times New Roman"/>
                <w:b/>
                <w:szCs w:val="24"/>
                <w:lang w:eastAsia="ru-RU"/>
              </w:rPr>
              <w:t>9. Реальная заработная плата (всего по району)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%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10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1,60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101,60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10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2,60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102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,50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102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,50</w:t>
            </w:r>
          </w:p>
        </w:tc>
      </w:tr>
      <w:tr w:rsidR="00861E46">
        <w:trPr>
          <w:cantSplit/>
          <w:trHeight w:hRule="exact" w:val="569"/>
          <w:tblHeader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firstLine="0"/>
              <w:jc w:val="left"/>
              <w:rPr>
                <w:rFonts w:eastAsia="Times New Roman"/>
                <w:b/>
                <w:szCs w:val="24"/>
                <w:lang w:eastAsia="ru-RU"/>
              </w:rPr>
            </w:pPr>
            <w:r>
              <w:rPr>
                <w:rFonts w:eastAsia="Times New Roman"/>
                <w:b/>
                <w:szCs w:val="24"/>
                <w:lang w:eastAsia="ru-RU"/>
              </w:rPr>
              <w:t>10. Прибыль прибыльных организаций, 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proofErr w:type="spellStart"/>
            <w:r>
              <w:rPr>
                <w:rFonts w:eastAsia="Times New Roman"/>
                <w:sz w:val="22"/>
                <w:lang w:eastAsia="ru-RU"/>
              </w:rPr>
              <w:t>млн</w:t>
            </w:r>
            <w:proofErr w:type="gramStart"/>
            <w:r>
              <w:rPr>
                <w:rFonts w:eastAsia="Times New Roman"/>
                <w:sz w:val="22"/>
                <w:lang w:eastAsia="ru-RU"/>
              </w:rPr>
              <w:t>.р</w:t>
            </w:r>
            <w:proofErr w:type="gramEnd"/>
            <w:r>
              <w:rPr>
                <w:rFonts w:eastAsia="Times New Roman"/>
                <w:sz w:val="22"/>
                <w:lang w:eastAsia="ru-RU"/>
              </w:rPr>
              <w:t>уб</w:t>
            </w:r>
            <w:proofErr w:type="spellEnd"/>
            <w:r>
              <w:rPr>
                <w:rFonts w:eastAsia="Times New Roman"/>
                <w:sz w:val="22"/>
                <w:lang w:eastAsia="ru-RU"/>
              </w:rPr>
              <w:t>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3 290,12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3 632,00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3 889,87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4 193,28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4 528,74</w:t>
            </w:r>
          </w:p>
        </w:tc>
      </w:tr>
      <w:tr w:rsidR="00861E46">
        <w:trPr>
          <w:cantSplit/>
          <w:trHeight w:val="383"/>
          <w:tblHeader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tabs>
                <w:tab w:val="num" w:pos="-69"/>
                <w:tab w:val="left" w:pos="650"/>
              </w:tabs>
              <w:spacing w:line="254" w:lineRule="auto"/>
              <w:ind w:firstLine="0"/>
              <w:jc w:val="left"/>
              <w:rPr>
                <w:rFonts w:eastAsia="Times New Roman"/>
                <w:b/>
                <w:szCs w:val="24"/>
                <w:lang w:eastAsia="ru-RU"/>
              </w:rPr>
            </w:pPr>
            <w:r>
              <w:rPr>
                <w:rFonts w:eastAsia="Times New Roman"/>
                <w:b/>
                <w:szCs w:val="24"/>
                <w:lang w:eastAsia="ru-RU"/>
              </w:rPr>
              <w:t>11. Объем инвестиций в основной капитал (по полному кругу предприятий)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4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proofErr w:type="spellStart"/>
            <w:r>
              <w:rPr>
                <w:rFonts w:eastAsia="Times New Roman"/>
                <w:sz w:val="22"/>
                <w:lang w:eastAsia="ru-RU"/>
              </w:rPr>
              <w:t>млн</w:t>
            </w:r>
            <w:proofErr w:type="gramStart"/>
            <w:r>
              <w:rPr>
                <w:rFonts w:eastAsia="Times New Roman"/>
                <w:sz w:val="22"/>
                <w:lang w:eastAsia="ru-RU"/>
              </w:rPr>
              <w:t>.р</w:t>
            </w:r>
            <w:proofErr w:type="gramEnd"/>
            <w:r>
              <w:rPr>
                <w:rFonts w:eastAsia="Times New Roman"/>
                <w:sz w:val="22"/>
                <w:lang w:eastAsia="ru-RU"/>
              </w:rPr>
              <w:t>уб</w:t>
            </w:r>
            <w:proofErr w:type="spellEnd"/>
            <w:r>
              <w:rPr>
                <w:rFonts w:eastAsia="Times New Roman"/>
                <w:sz w:val="22"/>
                <w:lang w:eastAsia="ru-RU"/>
              </w:rPr>
              <w:t>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6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2 348,49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6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2 507,30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6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2 758,03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6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3 031,10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E46" w:rsidRDefault="00D2036D">
            <w:pPr>
              <w:spacing w:line="256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3 322,10</w:t>
            </w:r>
          </w:p>
        </w:tc>
      </w:tr>
    </w:tbl>
    <w:p w:rsidR="00861E46" w:rsidRDefault="00861E46">
      <w:pPr>
        <w:ind w:firstLine="540"/>
        <w:jc w:val="left"/>
        <w:rPr>
          <w:rFonts w:eastAsia="Times New Roman"/>
          <w:b/>
          <w:sz w:val="28"/>
          <w:szCs w:val="28"/>
          <w:lang w:eastAsia="ru-RU"/>
        </w:rPr>
      </w:pPr>
    </w:p>
    <w:p w:rsidR="00861E46" w:rsidRDefault="00861E46">
      <w:pPr>
        <w:ind w:firstLine="0"/>
        <w:jc w:val="center"/>
        <w:rPr>
          <w:rFonts w:eastAsia="Times New Roman"/>
          <w:b/>
          <w:sz w:val="26"/>
          <w:szCs w:val="26"/>
          <w:lang w:eastAsia="ru-RU"/>
        </w:rPr>
      </w:pPr>
    </w:p>
    <w:p w:rsidR="00861E46" w:rsidRDefault="00861E46">
      <w:pPr>
        <w:autoSpaceDN/>
        <w:ind w:firstLine="0"/>
        <w:jc w:val="left"/>
        <w:rPr>
          <w:rFonts w:eastAsia="Times New Roman"/>
          <w:b/>
          <w:sz w:val="26"/>
          <w:szCs w:val="26"/>
          <w:lang w:eastAsia="ru-RU"/>
        </w:rPr>
        <w:sectPr w:rsidR="00861E46">
          <w:pgSz w:w="11906" w:h="16838"/>
          <w:pgMar w:top="1134" w:right="567" w:bottom="1134" w:left="1134" w:header="709" w:footer="709" w:gutter="0"/>
          <w:cols w:space="720"/>
          <w:titlePg/>
        </w:sectPr>
      </w:pPr>
    </w:p>
    <w:p w:rsidR="00861E46" w:rsidRDefault="00D2036D">
      <w:pPr>
        <w:tabs>
          <w:tab w:val="left" w:pos="851"/>
          <w:tab w:val="left" w:pos="993"/>
        </w:tabs>
        <w:ind w:firstLine="567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color w:val="000000"/>
          <w:sz w:val="28"/>
          <w:szCs w:val="28"/>
          <w:lang w:eastAsia="ru-RU"/>
        </w:rPr>
        <w:lastRenderedPageBreak/>
        <w:t>2. Пояснительная записка к прогнозу социально-экономического развития Балахнинского муниципального округа на среднесрочный период (на 2022 год и на плановый период 2023 и 2024 годы)</w:t>
      </w:r>
    </w:p>
    <w:bookmarkEnd w:id="1"/>
    <w:bookmarkEnd w:id="2"/>
    <w:p w:rsidR="00861E46" w:rsidRDefault="00D2036D">
      <w:pPr>
        <w:ind w:firstLine="567"/>
        <w:rPr>
          <w:rFonts w:eastAsia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/>
          <w:b/>
          <w:color w:val="000000"/>
          <w:sz w:val="28"/>
          <w:szCs w:val="28"/>
          <w:lang w:eastAsia="ru-RU"/>
        </w:rPr>
        <w:t>2.1. Предварительные итоги социально-экономического развития Балахнинского муниципального округа за 6 месяцев 2021 года и оценка социально-экономической ситуации до конца 2021 года</w:t>
      </w:r>
    </w:p>
    <w:p w:rsidR="00861E46" w:rsidRDefault="00861E46">
      <w:pPr>
        <w:ind w:firstLine="567"/>
        <w:rPr>
          <w:rFonts w:eastAsia="Times New Roman"/>
          <w:color w:val="FF0000"/>
          <w:sz w:val="28"/>
          <w:szCs w:val="28"/>
          <w:lang w:eastAsia="ru-RU"/>
        </w:rPr>
      </w:pPr>
    </w:p>
    <w:p w:rsidR="00861E46" w:rsidRDefault="00D2036D">
      <w:pPr>
        <w:ind w:firstLine="567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За истекший период текущего финансового года (январь-июнь 2021 года) социально-экономическое положение округа характеризуется следующими показателями:</w:t>
      </w:r>
    </w:p>
    <w:p w:rsidR="00861E46" w:rsidRDefault="00D2036D">
      <w:pPr>
        <w:ind w:firstLine="567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- темп роста объема отгруженной продукции по полному кругу предприятий составил 133,6% в действующих ценах к соответствующему периоду прошлого года; </w:t>
      </w:r>
    </w:p>
    <w:p w:rsidR="00861E46" w:rsidRDefault="00D2036D">
      <w:pPr>
        <w:ind w:firstLine="567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- объем инвестиций в основной капитал составил 56,3%</w:t>
      </w:r>
      <w:r>
        <w:rPr>
          <w:rFonts w:eastAsia="Times New Roman"/>
          <w:szCs w:val="24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>к соответствующему периоду прошлого года;</w:t>
      </w:r>
    </w:p>
    <w:p w:rsidR="00861E46" w:rsidRDefault="00D2036D">
      <w:pPr>
        <w:ind w:firstLine="567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- получено 3 249,17 млн. руб. прибыли предприятиями и организациями округа, что больше по отношению к соответствующему периоду прошлого года на 2 302,66 млн. руб. </w:t>
      </w:r>
    </w:p>
    <w:p w:rsidR="00861E46" w:rsidRDefault="00D2036D">
      <w:pPr>
        <w:ind w:firstLine="567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Основное увеличение наблюдается у предприятий обрабатывающих производств: 3 247,4 млн. руб. за 6 мес. 2021 г. и 978,0 млн. руб. за 6 мес. 2020 г.</w:t>
      </w:r>
    </w:p>
    <w:p w:rsidR="00861E46" w:rsidRDefault="00D2036D">
      <w:pPr>
        <w:ind w:firstLine="567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- численность работающих по полному кругу предприятий увеличилась на 750 человек или на 1,04% и составила 21 483 человек; </w:t>
      </w:r>
    </w:p>
    <w:p w:rsidR="00861E46" w:rsidRDefault="00D2036D">
      <w:pPr>
        <w:autoSpaceDE w:val="0"/>
        <w:ind w:firstLine="567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- фонд оплаты труда по полному кругу предприятий за январь-июнь 2021 года по сравнению с соответствующим периодом 2020 года увеличился на 13,04% и составил 3 955,15 млн. руб.;</w:t>
      </w:r>
    </w:p>
    <w:p w:rsidR="00861E46" w:rsidRDefault="00D2036D">
      <w:pPr>
        <w:ind w:firstLine="567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- среднемесячная заработная плата одного работающего по полному кругу предприятий за период январь - июнь 2021 года</w:t>
      </w:r>
      <w:proofErr w:type="gramStart"/>
      <w:r>
        <w:rPr>
          <w:rFonts w:eastAsia="Times New Roman"/>
          <w:sz w:val="28"/>
          <w:szCs w:val="28"/>
          <w:lang w:eastAsia="ru-RU"/>
        </w:rPr>
        <w:t>.</w:t>
      </w:r>
      <w:proofErr w:type="gramEnd"/>
      <w:r>
        <w:rPr>
          <w:rFonts w:eastAsia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eastAsia="Times New Roman"/>
          <w:sz w:val="28"/>
          <w:szCs w:val="28"/>
          <w:lang w:eastAsia="ru-RU"/>
        </w:rPr>
        <w:t>с</w:t>
      </w:r>
      <w:proofErr w:type="gramEnd"/>
      <w:r>
        <w:rPr>
          <w:rFonts w:eastAsia="Times New Roman"/>
          <w:sz w:val="28"/>
          <w:szCs w:val="28"/>
          <w:lang w:eastAsia="ru-RU"/>
        </w:rPr>
        <w:t>оставила 30,69 тыс. руб. (в аналогичном периоде 2020 года – 28,22 тыс. руб.) Темп роста 108,71%;</w:t>
      </w:r>
    </w:p>
    <w:p w:rsidR="00861E46" w:rsidRDefault="00D2036D">
      <w:pPr>
        <w:ind w:firstLine="567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- оборот розничной торговли во всех каналах реализации за 6 месяцев 2021 года сложился на 30,0% выше, чем в аналогичном периоде прошлого года и составил 13 439,16 млн. рублей;</w:t>
      </w:r>
    </w:p>
    <w:p w:rsidR="00861E46" w:rsidRDefault="00D2036D">
      <w:pPr>
        <w:ind w:firstLine="567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- демографическая ситуация следующая: родилось 231 чел. (за аналогичный период 2020 года – 323 чел.); умерло – 763 чел. (аналогичный период 2019 г. – 589 чел.), естественная убыль составила 532 человека;</w:t>
      </w:r>
    </w:p>
    <w:p w:rsidR="00861E46" w:rsidRDefault="00D2036D">
      <w:pPr>
        <w:ind w:firstLine="567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- уровень официально зарегистрированной безработицы на 1 июля 2021 года составил 1,11%, что больше уровня </w:t>
      </w:r>
      <w:proofErr w:type="spellStart"/>
      <w:r>
        <w:rPr>
          <w:rFonts w:eastAsia="Times New Roman"/>
          <w:sz w:val="28"/>
          <w:szCs w:val="28"/>
          <w:lang w:eastAsia="ru-RU"/>
        </w:rPr>
        <w:t>среднеобластного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 значения (0,66%). По состоянию на 01.07.2021 года на учете состояло 416 безработных гражданина, против 1 167 человек на аналогичную дату предыдущего года.</w:t>
      </w:r>
    </w:p>
    <w:p w:rsidR="00861E46" w:rsidRDefault="00D2036D">
      <w:p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Количество вакансий, заявленных работодателями в органы службы занятости, составляет 2 179 человек. </w:t>
      </w:r>
    </w:p>
    <w:p w:rsidR="00861E46" w:rsidRDefault="00D2036D">
      <w:p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Средняя заработная плата по заявленным вакансиям составляет 28 358 руб.</w:t>
      </w:r>
    </w:p>
    <w:p w:rsidR="00861E46" w:rsidRDefault="00861E46">
      <w:pPr>
        <w:autoSpaceDN/>
        <w:ind w:firstLine="0"/>
        <w:jc w:val="left"/>
        <w:rPr>
          <w:rFonts w:eastAsia="Times New Roman"/>
          <w:sz w:val="28"/>
          <w:szCs w:val="28"/>
          <w:lang w:eastAsia="ru-RU"/>
        </w:rPr>
        <w:sectPr w:rsidR="00861E46">
          <w:pgSz w:w="11906" w:h="16838"/>
          <w:pgMar w:top="1134" w:right="567" w:bottom="1134" w:left="1134" w:header="709" w:footer="709" w:gutter="0"/>
          <w:cols w:space="720"/>
          <w:titlePg/>
        </w:sectPr>
      </w:pPr>
    </w:p>
    <w:p w:rsidR="00861E46" w:rsidRDefault="00D2036D">
      <w:pPr>
        <w:ind w:firstLine="0"/>
        <w:jc w:val="center"/>
        <w:rPr>
          <w:rFonts w:eastAsia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241935</wp:posOffset>
            </wp:positionH>
            <wp:positionV relativeFrom="paragraph">
              <wp:posOffset>-72390</wp:posOffset>
            </wp:positionV>
            <wp:extent cx="6008370" cy="6191250"/>
            <wp:effectExtent l="3810" t="3810" r="0" b="0"/>
            <wp:wrapNone/>
            <wp:docPr id="1" name="Диаграмм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/>
          <w:b/>
          <w:sz w:val="28"/>
          <w:szCs w:val="28"/>
          <w:lang w:eastAsia="ru-RU"/>
        </w:rPr>
        <w:t>Структура экономики Балахнинского муниципального округа</w:t>
      </w:r>
    </w:p>
    <w:p w:rsidR="00861E46" w:rsidRDefault="00D2036D">
      <w:pPr>
        <w:ind w:firstLine="567"/>
        <w:jc w:val="center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>за январь - июнь 2021 года</w:t>
      </w:r>
    </w:p>
    <w:p w:rsidR="00861E46" w:rsidRDefault="00D2036D">
      <w:pPr>
        <w:ind w:firstLine="567"/>
        <w:jc w:val="center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>по видам экономической деятельности</w:t>
      </w:r>
    </w:p>
    <w:p w:rsidR="00861E46" w:rsidRDefault="00861E46">
      <w:pPr>
        <w:ind w:firstLine="567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861E46" w:rsidRDefault="00861E46">
      <w:pPr>
        <w:ind w:firstLine="567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861E46" w:rsidRDefault="00861E46">
      <w:pPr>
        <w:ind w:firstLine="567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861E46" w:rsidRDefault="00861E46">
      <w:pPr>
        <w:ind w:firstLine="567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861E46" w:rsidRDefault="00861E46">
      <w:pPr>
        <w:ind w:firstLine="567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861E46" w:rsidRDefault="00861E46">
      <w:pPr>
        <w:ind w:firstLine="567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861E46" w:rsidRDefault="00861E46">
      <w:pPr>
        <w:ind w:firstLine="567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861E46" w:rsidRDefault="00861E46">
      <w:pPr>
        <w:ind w:firstLine="567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861E46" w:rsidRDefault="00861E46">
      <w:pPr>
        <w:ind w:firstLine="567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861E46" w:rsidRDefault="00861E46">
      <w:pPr>
        <w:ind w:firstLine="567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861E46" w:rsidRDefault="00861E46">
      <w:pPr>
        <w:ind w:firstLine="567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861E46" w:rsidRDefault="00861E46">
      <w:pPr>
        <w:ind w:firstLine="567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861E46" w:rsidRDefault="00861E46">
      <w:pPr>
        <w:ind w:firstLine="567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861E46" w:rsidRDefault="00861E46">
      <w:pPr>
        <w:ind w:firstLine="567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861E46" w:rsidRDefault="00861E46">
      <w:pPr>
        <w:ind w:firstLine="567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861E46" w:rsidRDefault="00861E46">
      <w:pPr>
        <w:ind w:firstLine="567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861E46" w:rsidRDefault="00861E46">
      <w:pPr>
        <w:ind w:firstLine="567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861E46" w:rsidRDefault="00861E46">
      <w:pPr>
        <w:ind w:firstLine="567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861E46" w:rsidRDefault="00861E46">
      <w:pPr>
        <w:ind w:firstLine="567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861E46" w:rsidRDefault="00861E46">
      <w:pPr>
        <w:ind w:firstLine="567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861E46" w:rsidRDefault="00861E46">
      <w:pPr>
        <w:ind w:firstLine="567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861E46" w:rsidRDefault="00861E46">
      <w:pPr>
        <w:ind w:firstLine="567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861E46" w:rsidRDefault="00861E46">
      <w:pPr>
        <w:ind w:firstLine="567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861E46" w:rsidRDefault="00861E46">
      <w:pPr>
        <w:ind w:firstLine="567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861E46" w:rsidRDefault="00861E46">
      <w:pPr>
        <w:ind w:firstLine="567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861E46" w:rsidRDefault="00861E46">
      <w:pPr>
        <w:ind w:firstLine="567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861E46" w:rsidRDefault="00861E46">
      <w:pPr>
        <w:ind w:firstLine="0"/>
        <w:rPr>
          <w:rFonts w:eastAsia="Times New Roman"/>
          <w:b/>
          <w:sz w:val="26"/>
          <w:szCs w:val="26"/>
          <w:lang w:eastAsia="ru-RU"/>
        </w:rPr>
      </w:pPr>
    </w:p>
    <w:p w:rsidR="00861E46" w:rsidRDefault="00861E46">
      <w:pPr>
        <w:ind w:firstLine="0"/>
        <w:rPr>
          <w:rFonts w:eastAsia="Times New Roman"/>
          <w:b/>
          <w:sz w:val="26"/>
          <w:szCs w:val="26"/>
          <w:lang w:eastAsia="ru-RU"/>
        </w:rPr>
      </w:pPr>
    </w:p>
    <w:p w:rsidR="00861E46" w:rsidRDefault="00D2036D">
      <w:pPr>
        <w:ind w:firstLine="567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В 2021 году экономическая ситуация характеризуется следующими тенденциями:</w:t>
      </w:r>
    </w:p>
    <w:p w:rsidR="00861E46" w:rsidRDefault="00D2036D">
      <w:pPr>
        <w:ind w:firstLine="567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1.</w:t>
      </w:r>
      <w:r>
        <w:rPr>
          <w:rFonts w:eastAsia="Times New Roman"/>
          <w:color w:val="000000"/>
          <w:szCs w:val="24"/>
          <w:lang w:eastAsia="ru-RU"/>
        </w:rPr>
        <w:t xml:space="preserve"> </w:t>
      </w:r>
      <w:r>
        <w:rPr>
          <w:rFonts w:eastAsia="Times New Roman"/>
          <w:color w:val="000000"/>
          <w:sz w:val="28"/>
          <w:szCs w:val="28"/>
          <w:lang w:eastAsia="ru-RU"/>
        </w:rPr>
        <w:t>Наблюдается увеличение объемов отгруженной продукции по отношению к 2020 году и прогнозируется в сумме 28 938,78 млн. руб. с темпом роста в действующих ценах 110,74%;</w:t>
      </w:r>
    </w:p>
    <w:p w:rsidR="00861E46" w:rsidRDefault="00D2036D">
      <w:pPr>
        <w:ind w:firstLine="567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2. Объем отгруженной продукции крупных и средних предприятий по всем видам деятельности прогнозируется в сумме 25 714,32 млн. руб. или 112,11% в действующих ценах к прошлому году;</w:t>
      </w:r>
    </w:p>
    <w:p w:rsidR="00861E46" w:rsidRDefault="00D2036D">
      <w:pPr>
        <w:ind w:firstLine="567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3. Фонд начисленной заработной платы к концу текущего года планируется в сумме 8 272,30 млн. руб. или 111,37% к 2020 году;</w:t>
      </w:r>
    </w:p>
    <w:p w:rsidR="00861E46" w:rsidRDefault="00D2036D">
      <w:pPr>
        <w:ind w:firstLine="567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4. Средняя заработная плата в 2021 год прогнозируется в размере 29 601,27 руб.</w:t>
      </w:r>
    </w:p>
    <w:p w:rsidR="00861E46" w:rsidRDefault="00D2036D">
      <w:pPr>
        <w:ind w:firstLine="567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Согласно показателям для анализа ситуации с занятостью и оплатой труда по Балахнинскому муниципальному округу Нижегородской области за январь – июнь 2021 года среднемесячная заработная плата составляет 30 685,22 рублей.</w:t>
      </w:r>
    </w:p>
    <w:p w:rsidR="00861E46" w:rsidRDefault="00D2036D">
      <w:pPr>
        <w:tabs>
          <w:tab w:val="left" w:pos="0"/>
          <w:tab w:val="left" w:pos="180"/>
          <w:tab w:val="left" w:pos="851"/>
        </w:tabs>
        <w:ind w:firstLine="567"/>
        <w:jc w:val="left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lastRenderedPageBreak/>
        <w:t xml:space="preserve">5. С учетом планов развития предприятий, прогнозируется увеличение объема инвестиций в основной капитал. По оценке 2021 года объем инвестиций составит 2 507,30 млн. руб. (106,76% от 2020 </w:t>
      </w:r>
      <w:proofErr w:type="spellStart"/>
      <w:r>
        <w:rPr>
          <w:rFonts w:eastAsia="Times New Roman"/>
          <w:color w:val="000000"/>
          <w:sz w:val="28"/>
          <w:szCs w:val="28"/>
          <w:lang w:eastAsia="ru-RU"/>
        </w:rPr>
        <w:t>ггода</w:t>
      </w:r>
      <w:proofErr w:type="spellEnd"/>
      <w:r>
        <w:rPr>
          <w:rFonts w:eastAsia="Times New Roman"/>
          <w:color w:val="000000"/>
          <w:sz w:val="28"/>
          <w:szCs w:val="28"/>
          <w:lang w:eastAsia="ru-RU"/>
        </w:rPr>
        <w:t xml:space="preserve">); </w:t>
      </w:r>
    </w:p>
    <w:p w:rsidR="00861E46" w:rsidRDefault="00D2036D">
      <w:pPr>
        <w:tabs>
          <w:tab w:val="left" w:pos="0"/>
          <w:tab w:val="left" w:pos="851"/>
        </w:tabs>
        <w:ind w:firstLine="567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6. При росте заработной платы в действующих ценах, уровень реальной зарплаты по оценке 2021 года останется на уровне 2020 г.</w:t>
      </w:r>
    </w:p>
    <w:p w:rsidR="00861E46" w:rsidRDefault="00D2036D">
      <w:pPr>
        <w:ind w:firstLine="567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7. На потребительском рынке в 2021 году планируется увеличение объемов розничного товарооборота.</w:t>
      </w:r>
    </w:p>
    <w:p w:rsidR="00861E46" w:rsidRDefault="00D2036D">
      <w:pPr>
        <w:ind w:firstLine="567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По оценке 2021 года объем розничного товарооборота составит 10 664,32 млн. руб. с темпом роста (в действующих ценах) 105,5%.</w:t>
      </w:r>
    </w:p>
    <w:p w:rsidR="00861E46" w:rsidRDefault="00D2036D">
      <w:pPr>
        <w:ind w:firstLine="567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8. К концу 2021 года уровень официально зарегистрированной безработицы составит 1,31%, что меньше на 1,23% аналогичного периода 2020 года.</w:t>
      </w:r>
    </w:p>
    <w:p w:rsidR="00861E46" w:rsidRDefault="00D2036D">
      <w:pPr>
        <w:ind w:firstLine="567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9. Прибыль прибыльных организаций по крупным и средним организациям планируется в сумме 3 632,00 млн. руб. или 110,39% в действующих ценах к прошлому году.</w:t>
      </w:r>
    </w:p>
    <w:p w:rsidR="00861E46" w:rsidRDefault="00D2036D">
      <w:pPr>
        <w:ind w:firstLine="567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10. По оценке 2021 года объем платных услуг населению по крупным и средним организациям увеличится и составит 243,77 млн. руб., что в действующих ценах выше уровня 2020 года на 3,8%.</w:t>
      </w:r>
    </w:p>
    <w:p w:rsidR="00861E46" w:rsidRDefault="00D2036D">
      <w:pPr>
        <w:ind w:firstLine="567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11. Численность занятых в экономике в 2021 году оценивается в 28,516 тыс. человек, что выше 2020 года на 0,316 тыс. чел.</w:t>
      </w:r>
      <w:r>
        <w:rPr>
          <w:color w:val="000000"/>
          <w:sz w:val="28"/>
          <w:szCs w:val="28"/>
        </w:rPr>
        <w:t xml:space="preserve"> (28,200</w:t>
      </w:r>
      <w:r>
        <w:rPr>
          <w:color w:val="000000"/>
        </w:rPr>
        <w:t xml:space="preserve"> </w:t>
      </w:r>
      <w:r>
        <w:rPr>
          <w:color w:val="000000"/>
          <w:sz w:val="28"/>
          <w:szCs w:val="28"/>
        </w:rPr>
        <w:t>тыс. чел.)</w:t>
      </w:r>
    </w:p>
    <w:p w:rsidR="00861E46" w:rsidRDefault="00D2036D">
      <w:pPr>
        <w:ind w:firstLine="567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12. По итогам года численность работников, формирующих фонд оплаты труда, увеличится на 4,52% и составит 21,548 тыс. чел. </w:t>
      </w:r>
    </w:p>
    <w:p w:rsidR="00861E46" w:rsidRDefault="00861E46">
      <w:pPr>
        <w:ind w:firstLine="0"/>
        <w:rPr>
          <w:rFonts w:eastAsia="Times New Roman"/>
          <w:b/>
          <w:color w:val="FF0000"/>
          <w:sz w:val="28"/>
          <w:szCs w:val="28"/>
          <w:lang w:eastAsia="ru-RU"/>
        </w:rPr>
      </w:pPr>
    </w:p>
    <w:p w:rsidR="00861E46" w:rsidRDefault="00D2036D">
      <w:pPr>
        <w:ind w:firstLine="567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2.2. Прогноз развития Балахнинского муниципального округа на среднесрочный период 2022 год и на плановый период 2023 и 2024 годы</w:t>
      </w:r>
    </w:p>
    <w:p w:rsidR="00861E46" w:rsidRDefault="00D2036D">
      <w:pPr>
        <w:ind w:firstLine="567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2.2.1. Прогноз развития реального сектора экономики</w:t>
      </w:r>
    </w:p>
    <w:p w:rsidR="00861E46" w:rsidRDefault="00861E46">
      <w:pPr>
        <w:ind w:firstLine="567"/>
        <w:jc w:val="center"/>
        <w:rPr>
          <w:rFonts w:eastAsia="Times New Roman"/>
          <w:b/>
          <w:bCs/>
          <w:color w:val="FF0000"/>
          <w:sz w:val="28"/>
          <w:szCs w:val="28"/>
          <w:lang w:eastAsia="ru-RU"/>
        </w:rPr>
      </w:pPr>
    </w:p>
    <w:p w:rsidR="00861E46" w:rsidRDefault="00D2036D">
      <w:pPr>
        <w:ind w:firstLine="567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>Промышленность</w:t>
      </w:r>
    </w:p>
    <w:p w:rsidR="00861E46" w:rsidRDefault="00D2036D">
      <w:pPr>
        <w:ind w:firstLine="567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Прогнозируется, что в среднесрочной перспективе в отраслевой структуре промышленного производства не произойдет существенных изменений. Ситуацию в обрабатывающем производстве, по-прежнему, будут определять три ключевые отрасли: целлюлозно-бумажное производство; производство электрооборудования, электронного и оптического оборудования; производство резиновых и пластмассовых изделий.</w:t>
      </w:r>
    </w:p>
    <w:p w:rsidR="00861E46" w:rsidRDefault="00D2036D">
      <w:pPr>
        <w:ind w:firstLine="567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В среднесрочный период 2022 год и на плановый период 2023 и 2024 годы прогнозируется незначительный рост объемов отгрузки в действующих ценах.</w:t>
      </w:r>
    </w:p>
    <w:p w:rsidR="00861E46" w:rsidRDefault="00D2036D">
      <w:pPr>
        <w:ind w:firstLine="567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В 2022 году планируется рост объемов отгруженной продукции по отношению к 2021 году – и составит 31 433,09 млн. руб. или 108,62%.</w:t>
      </w:r>
    </w:p>
    <w:p w:rsidR="00861E46" w:rsidRDefault="00D2036D">
      <w:pPr>
        <w:ind w:firstLine="567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К 2024 году данный показатель планируется в сумме 35 985,33 млн. руб. или 114,5 % к уровню 2022 года.</w:t>
      </w:r>
    </w:p>
    <w:p w:rsidR="00861E46" w:rsidRDefault="00D2036D">
      <w:pPr>
        <w:ind w:firstLine="567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Объем отгруженной продукции по обрабатывающим производствам в 2022 году прогнозируется на уровне 28 086,10 млн. руб. </w:t>
      </w:r>
    </w:p>
    <w:p w:rsidR="00861E46" w:rsidRDefault="00D2036D">
      <w:pPr>
        <w:ind w:firstLine="567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Доля отгруженной продукции обрабатывающих произво</w:t>
      </w:r>
      <w:proofErr w:type="gramStart"/>
      <w:r>
        <w:rPr>
          <w:rFonts w:eastAsia="Times New Roman"/>
          <w:sz w:val="28"/>
          <w:szCs w:val="28"/>
          <w:lang w:eastAsia="ru-RU"/>
        </w:rPr>
        <w:t>дств в стр</w:t>
      </w:r>
      <w:proofErr w:type="gramEnd"/>
      <w:r>
        <w:rPr>
          <w:rFonts w:eastAsia="Times New Roman"/>
          <w:sz w:val="28"/>
          <w:szCs w:val="28"/>
          <w:lang w:eastAsia="ru-RU"/>
        </w:rPr>
        <w:t>уктуре экономики за прогнозный период составит (90,1% в 2022 - 2024 годах).</w:t>
      </w:r>
    </w:p>
    <w:p w:rsidR="00861E46" w:rsidRDefault="00D2036D">
      <w:pPr>
        <w:ind w:firstLine="540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lastRenderedPageBreak/>
        <w:t>Наилучшие показатели отмечаются на предприятиях АО «Волга», ООО «Балахнинская картонная фабрика», ООО «</w:t>
      </w:r>
      <w:proofErr w:type="spellStart"/>
      <w:r>
        <w:rPr>
          <w:rFonts w:eastAsia="Times New Roman"/>
          <w:sz w:val="28"/>
          <w:szCs w:val="28"/>
          <w:lang w:eastAsia="ru-RU"/>
        </w:rPr>
        <w:t>Биаксплен</w:t>
      </w:r>
      <w:proofErr w:type="spellEnd"/>
      <w:r>
        <w:rPr>
          <w:rFonts w:eastAsia="Times New Roman"/>
          <w:sz w:val="28"/>
          <w:szCs w:val="28"/>
          <w:lang w:eastAsia="ru-RU"/>
        </w:rPr>
        <w:t>», ООО «</w:t>
      </w:r>
      <w:proofErr w:type="spellStart"/>
      <w:r>
        <w:rPr>
          <w:rFonts w:eastAsia="Times New Roman"/>
          <w:sz w:val="28"/>
          <w:szCs w:val="28"/>
          <w:lang w:eastAsia="ru-RU"/>
        </w:rPr>
        <w:t>Реттенмайер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eastAsia="Times New Roman"/>
          <w:sz w:val="28"/>
          <w:szCs w:val="28"/>
          <w:lang w:eastAsia="ru-RU"/>
        </w:rPr>
        <w:t>РУС</w:t>
      </w:r>
      <w:proofErr w:type="gramEnd"/>
      <w:r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/>
          <w:sz w:val="28"/>
          <w:szCs w:val="28"/>
          <w:lang w:eastAsia="ru-RU"/>
        </w:rPr>
        <w:t>Продуктион</w:t>
      </w:r>
      <w:proofErr w:type="spellEnd"/>
      <w:r>
        <w:rPr>
          <w:rFonts w:eastAsia="Times New Roman"/>
          <w:sz w:val="28"/>
          <w:szCs w:val="28"/>
          <w:lang w:eastAsia="ru-RU"/>
        </w:rPr>
        <w:t>», ООО «</w:t>
      </w:r>
      <w:proofErr w:type="spellStart"/>
      <w:r>
        <w:rPr>
          <w:rFonts w:eastAsia="Times New Roman"/>
          <w:sz w:val="28"/>
          <w:szCs w:val="28"/>
          <w:lang w:eastAsia="ru-RU"/>
        </w:rPr>
        <w:t>Картонснаб</w:t>
      </w:r>
      <w:proofErr w:type="spellEnd"/>
      <w:r>
        <w:rPr>
          <w:rFonts w:eastAsia="Times New Roman"/>
          <w:sz w:val="28"/>
          <w:szCs w:val="28"/>
          <w:lang w:eastAsia="ru-RU"/>
        </w:rPr>
        <w:t>», ООО «</w:t>
      </w:r>
      <w:proofErr w:type="spellStart"/>
      <w:r>
        <w:rPr>
          <w:rFonts w:eastAsia="Times New Roman"/>
          <w:sz w:val="28"/>
          <w:szCs w:val="28"/>
          <w:lang w:eastAsia="ru-RU"/>
        </w:rPr>
        <w:t>РусКомТранс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». </w:t>
      </w:r>
    </w:p>
    <w:p w:rsidR="00861E46" w:rsidRDefault="00861E46">
      <w:pPr>
        <w:ind w:firstLine="567"/>
        <w:rPr>
          <w:rFonts w:eastAsia="Times New Roman"/>
          <w:b/>
          <w:sz w:val="28"/>
          <w:szCs w:val="28"/>
          <w:lang w:eastAsia="ru-RU"/>
        </w:rPr>
      </w:pPr>
    </w:p>
    <w:p w:rsidR="00861E46" w:rsidRDefault="00D2036D">
      <w:pPr>
        <w:ind w:firstLine="567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 xml:space="preserve">Сельское хозяйство </w:t>
      </w:r>
    </w:p>
    <w:p w:rsidR="00861E46" w:rsidRDefault="00D2036D">
      <w:pPr>
        <w:ind w:firstLine="567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Прогноз социально-экономического развития агропромышленного комплекса Балахнинского муниципального округа разработан в соответствии с Соглашением № 302 -07-03-02/04 от 02 апреля 2020 года о сотрудничестве в сфере реализации мероприятий программ по развитию агропромышленного комплекса между Министерством сельского хозяйства и продовольственных ресурсов Нижегородской области и администрацией Балахнинского муниципального округа.</w:t>
      </w:r>
    </w:p>
    <w:p w:rsidR="00861E46" w:rsidRDefault="00D2036D">
      <w:pPr>
        <w:ind w:firstLine="567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Всего в округе производством сельхозпродукции на 1 января 2021 года занимаются 2 </w:t>
      </w:r>
      <w:proofErr w:type="spellStart"/>
      <w:r>
        <w:rPr>
          <w:rFonts w:eastAsia="Times New Roman"/>
          <w:sz w:val="28"/>
          <w:szCs w:val="28"/>
          <w:lang w:eastAsia="ru-RU"/>
        </w:rPr>
        <w:t>сельхозорганизации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, 5 крестьянских (фермерских) хозяйств, 1 хозяйство, зарегистрированное в качестве индивидуального предпринимателя и 12,5 тысяч владельцев личных подсобных хозяйств (далее - ЛПХ). </w:t>
      </w:r>
    </w:p>
    <w:p w:rsidR="00861E46" w:rsidRDefault="00D2036D">
      <w:pPr>
        <w:ind w:firstLine="567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Основными направлениями в прогнозируемом периоде остаются растениеводство и животноводство. </w:t>
      </w:r>
    </w:p>
    <w:p w:rsidR="00861E46" w:rsidRDefault="00D2036D">
      <w:pPr>
        <w:ind w:firstLine="567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ООО «Исток» </w:t>
      </w:r>
      <w:proofErr w:type="gramStart"/>
      <w:r>
        <w:rPr>
          <w:rFonts w:eastAsia="Times New Roman"/>
          <w:sz w:val="28"/>
          <w:szCs w:val="28"/>
          <w:lang w:eastAsia="ru-RU"/>
        </w:rPr>
        <w:t>и ООО</w:t>
      </w:r>
      <w:proofErr w:type="gramEnd"/>
      <w:r>
        <w:rPr>
          <w:rFonts w:eastAsia="Times New Roman"/>
          <w:sz w:val="28"/>
          <w:szCs w:val="28"/>
          <w:lang w:eastAsia="ru-RU"/>
        </w:rPr>
        <w:t xml:space="preserve"> «</w:t>
      </w:r>
      <w:proofErr w:type="spellStart"/>
      <w:r>
        <w:rPr>
          <w:rFonts w:eastAsia="Times New Roman"/>
          <w:sz w:val="28"/>
          <w:szCs w:val="28"/>
          <w:lang w:eastAsia="ru-RU"/>
        </w:rPr>
        <w:t>Правдинское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» - основные производители зерновых и зернобобовых культур в Балахнинском муниципальном округе. </w:t>
      </w:r>
    </w:p>
    <w:p w:rsidR="00861E46" w:rsidRDefault="00D2036D">
      <w:pPr>
        <w:ind w:firstLine="567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В 2021 году общая посевная площадь составила 2 976 га</w:t>
      </w:r>
      <w:proofErr w:type="gramStart"/>
      <w:r>
        <w:rPr>
          <w:rFonts w:eastAsia="Times New Roman"/>
          <w:sz w:val="28"/>
          <w:szCs w:val="28"/>
          <w:lang w:eastAsia="ru-RU"/>
        </w:rPr>
        <w:t xml:space="preserve">., </w:t>
      </w:r>
      <w:proofErr w:type="gramEnd"/>
      <w:r>
        <w:rPr>
          <w:rFonts w:eastAsia="Times New Roman"/>
          <w:sz w:val="28"/>
          <w:szCs w:val="28"/>
          <w:lang w:eastAsia="ru-RU"/>
        </w:rPr>
        <w:t>в 2022 году посевная площадь прогнозируется в размере 2 876,5 га., что меньше на 90,5 га., чем в 2021 году. Данный факт связан за счет продажи земельных участков индивидуальным предпринимателям.</w:t>
      </w:r>
    </w:p>
    <w:p w:rsidR="00861E46" w:rsidRDefault="00D2036D">
      <w:pPr>
        <w:ind w:firstLine="567"/>
        <w:rPr>
          <w:rFonts w:eastAsia="Times New Roman"/>
          <w:sz w:val="28"/>
          <w:szCs w:val="28"/>
          <w:lang w:eastAsia="ru-RU"/>
        </w:rPr>
      </w:pPr>
      <w:proofErr w:type="gramStart"/>
      <w:r>
        <w:rPr>
          <w:rFonts w:eastAsia="Times New Roman"/>
          <w:sz w:val="28"/>
          <w:szCs w:val="28"/>
          <w:lang w:eastAsia="ru-RU"/>
        </w:rPr>
        <w:t xml:space="preserve">Производство зерновых и зернобобовых культур в СХО округа прогнозируется в 2022 году на уровне 2021 года, а в 2023-2024 годах с ростом от 1,01 до 1,07 к уровню 2022 года за счет поэтапного введения в оборот неиспользуемой пашни, заросшей древесно-кустарниковой растительностью в ООО «Исток» (в 2017 году хозяйство приобрело 641,4 га). </w:t>
      </w:r>
      <w:proofErr w:type="gramEnd"/>
    </w:p>
    <w:p w:rsidR="00861E46" w:rsidRDefault="00D2036D">
      <w:pPr>
        <w:ind w:firstLine="567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Роль ЛПХ в производстве продукции животноводства и растениеводства на весь прогнозируемый период сохранится с темпами развития около 101,4 %.</w:t>
      </w:r>
    </w:p>
    <w:p w:rsidR="00861E46" w:rsidRDefault="00D2036D">
      <w:pPr>
        <w:ind w:firstLine="567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Владельцы ЛПХ являются основными производителями картофеля (73,0 %) и овощей (100,0 %). </w:t>
      </w:r>
    </w:p>
    <w:p w:rsidR="00861E46" w:rsidRDefault="00D2036D">
      <w:pPr>
        <w:ind w:firstLine="567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ООО «Исток» производит 27 % от общего объема картофеля в округе.</w:t>
      </w:r>
    </w:p>
    <w:p w:rsidR="00861E46" w:rsidRDefault="00861E46">
      <w:pPr>
        <w:ind w:firstLine="567"/>
        <w:rPr>
          <w:rFonts w:eastAsia="Times New Roman"/>
          <w:b/>
          <w:color w:val="FF0000"/>
          <w:sz w:val="28"/>
          <w:szCs w:val="28"/>
          <w:lang w:eastAsia="ru-RU"/>
        </w:rPr>
      </w:pPr>
    </w:p>
    <w:p w:rsidR="00861E46" w:rsidRDefault="00D2036D">
      <w:pPr>
        <w:ind w:firstLine="567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>Инвестиции</w:t>
      </w:r>
    </w:p>
    <w:p w:rsidR="00861E46" w:rsidRDefault="00D2036D">
      <w:pPr>
        <w:ind w:firstLine="567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При разработке прогноза по градообразующим показателям учтены инвестиционные проекты, которые будут реализованы в среднесрочном периоде.</w:t>
      </w:r>
    </w:p>
    <w:p w:rsidR="00861E46" w:rsidRDefault="00D2036D">
      <w:pPr>
        <w:ind w:firstLine="567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Постановлением администрации Балахнинского муниципального округа от 24.06.2021 год № 1175 утвержден Инвестиционный план Балахнинского муниципального округа Нижегородской области.</w:t>
      </w:r>
    </w:p>
    <w:p w:rsidR="00861E46" w:rsidRDefault="00D2036D">
      <w:p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Объем инвестиций в основной капитал в 2021 году по Балахнинскому муниципальному округу планируется в сумме 2 507,30 млн. руб. (2020 г.- 2 348,49 млн. руб.), или 106,76%.</w:t>
      </w:r>
    </w:p>
    <w:p w:rsidR="00861E46" w:rsidRDefault="00D2036D">
      <w:p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На 2022 год – план 2 758,03 тыс. руб., 2023 год – план 3031,10 тыс. руб., 2024 год – план 3 322,10 тыс. руб.</w:t>
      </w:r>
    </w:p>
    <w:p w:rsidR="00861E46" w:rsidRDefault="00D2036D">
      <w:p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lastRenderedPageBreak/>
        <w:t xml:space="preserve">Основную долю в инвестициях составляют капитальные вложения промышленных предприятий – свыше 79,5%. </w:t>
      </w:r>
    </w:p>
    <w:p w:rsidR="00861E46" w:rsidRDefault="00861E46">
      <w:pPr>
        <w:ind w:firstLine="567"/>
        <w:rPr>
          <w:rFonts w:eastAsia="Times New Roman"/>
          <w:b/>
          <w:color w:val="FF0000"/>
          <w:sz w:val="26"/>
          <w:szCs w:val="26"/>
          <w:lang w:eastAsia="ru-RU"/>
        </w:rPr>
      </w:pPr>
    </w:p>
    <w:p w:rsidR="00861E46" w:rsidRDefault="00D2036D">
      <w:pPr>
        <w:ind w:firstLine="567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>Потребительский рынок</w:t>
      </w:r>
    </w:p>
    <w:p w:rsidR="00861E46" w:rsidRDefault="00D2036D">
      <w:pPr>
        <w:ind w:firstLine="567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Объем розничного товарооборота (во всех каналах реализации без учета объемов сокрытия) по оценки в 2020 году составил 10 108,36 млн. руб. или 93,45%, что 708,92 млн. руб. меньше аналогичного периода 2019 года. </w:t>
      </w:r>
    </w:p>
    <w:p w:rsidR="00861E46" w:rsidRDefault="00D2036D">
      <w:pPr>
        <w:ind w:firstLine="567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Оценка 2021 года составит 10 664,32 млн. руб., прогноз 2022 года – 11 069,56 млн. руб.</w:t>
      </w:r>
    </w:p>
    <w:p w:rsidR="00861E46" w:rsidRDefault="00D2036D">
      <w:pPr>
        <w:ind w:firstLine="567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В 2022-2024 годы прогнозируется увеличение объема оборота розничной торговли в основном за счет роста цен.</w:t>
      </w:r>
    </w:p>
    <w:p w:rsidR="00861E46" w:rsidRDefault="00D2036D">
      <w:pPr>
        <w:ind w:firstLine="567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Оборот торговли составит: в 2022 г. – 11 069,56 млн. руб., в 2023 г. – 11 512,35 и в 2024 году – 11 972,84 млн. руб.</w:t>
      </w:r>
    </w:p>
    <w:p w:rsidR="00861E46" w:rsidRDefault="00D2036D">
      <w:pPr>
        <w:ind w:firstLine="567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Объем платных услуг населению (крупным и среднем организациям) в 2020 году составил 234,85 млн. руб. или 96,94%, что на 7,42 меньше аналогичного периода 2019 года.</w:t>
      </w:r>
    </w:p>
    <w:p w:rsidR="00861E46" w:rsidRDefault="00D2036D">
      <w:pPr>
        <w:ind w:firstLine="567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Оценка 2021 года составит 243,77 млн. руб.,</w:t>
      </w:r>
      <w:r>
        <w:t xml:space="preserve"> </w:t>
      </w:r>
      <w:r>
        <w:rPr>
          <w:rFonts w:eastAsia="Times New Roman"/>
          <w:sz w:val="28"/>
          <w:szCs w:val="28"/>
          <w:lang w:eastAsia="ru-RU"/>
        </w:rPr>
        <w:t>прогноз 2022 года – 266,20 млн. руб.</w:t>
      </w:r>
    </w:p>
    <w:p w:rsidR="00861E46" w:rsidRDefault="00D2036D">
      <w:pPr>
        <w:ind w:firstLine="567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Рост объема платных услуг по кругу крупных и средних предприятий прогнозируется за счет роста цен на услуги: 2022 г. – 266,2 млн. руб., </w:t>
      </w:r>
      <w:proofErr w:type="spellStart"/>
      <w:r>
        <w:rPr>
          <w:rFonts w:eastAsia="Times New Roman"/>
          <w:sz w:val="28"/>
          <w:szCs w:val="28"/>
          <w:lang w:eastAsia="ru-RU"/>
        </w:rPr>
        <w:t>2023г</w:t>
      </w:r>
      <w:proofErr w:type="spellEnd"/>
      <w:r>
        <w:rPr>
          <w:rFonts w:eastAsia="Times New Roman"/>
          <w:sz w:val="28"/>
          <w:szCs w:val="28"/>
          <w:lang w:eastAsia="ru-RU"/>
        </w:rPr>
        <w:t>. – 286,25 млн. руб., в 2024 г. – 307,82 млн. руб.</w:t>
      </w:r>
    </w:p>
    <w:p w:rsidR="00861E46" w:rsidRDefault="00861E46">
      <w:pPr>
        <w:ind w:firstLine="567"/>
        <w:rPr>
          <w:rFonts w:eastAsia="Times New Roman"/>
          <w:sz w:val="28"/>
          <w:szCs w:val="28"/>
          <w:lang w:eastAsia="ru-RU"/>
        </w:rPr>
      </w:pPr>
    </w:p>
    <w:p w:rsidR="00861E46" w:rsidRDefault="00D2036D">
      <w:pPr>
        <w:ind w:firstLine="567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>Финансовый результат</w:t>
      </w:r>
    </w:p>
    <w:p w:rsidR="00861E46" w:rsidRDefault="00D2036D">
      <w:p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По оценке 2021 года прибыль прибыльных предприятий составит 3 632,0 млн. руб. Увеличение прибыли по сравнению с 2020 годом обусловлено с активизации инвестиционной деятельности промышленных предприятий и получение дивидендов за 1 квартал 2021 года.</w:t>
      </w:r>
    </w:p>
    <w:p w:rsidR="00861E46" w:rsidRDefault="00D2036D">
      <w:pPr>
        <w:ind w:firstLine="567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По прогнозу объем прибыли прибыльных организаций в 2022 году составит 3 889,87 млн. руб. с приростом к 2021 году на 7,1%.</w:t>
      </w:r>
    </w:p>
    <w:p w:rsidR="00861E46" w:rsidRDefault="00D2036D">
      <w:pPr>
        <w:ind w:firstLine="567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В 2023-2024 годы прибыль прогнозируется с учетом методических рекомендаций минэкономразвития Нижегородской области.</w:t>
      </w:r>
    </w:p>
    <w:p w:rsidR="00861E46" w:rsidRDefault="00D2036D">
      <w:pPr>
        <w:ind w:firstLine="567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К 2024 году прибыль прогнозируется в сумме до 4 528,74 млн. руб., что на 25% выше уровня 2022 года. </w:t>
      </w:r>
    </w:p>
    <w:p w:rsidR="00861E46" w:rsidRDefault="00861E46">
      <w:pPr>
        <w:ind w:firstLine="567"/>
        <w:jc w:val="right"/>
        <w:rPr>
          <w:rFonts w:eastAsia="Times New Roman"/>
          <w:sz w:val="26"/>
          <w:szCs w:val="26"/>
          <w:lang w:eastAsia="ru-RU"/>
        </w:rPr>
      </w:pPr>
    </w:p>
    <w:p w:rsidR="00861E46" w:rsidRDefault="00D2036D">
      <w:pPr>
        <w:ind w:firstLine="0"/>
        <w:jc w:val="center"/>
        <w:rPr>
          <w:rFonts w:eastAsia="Times New Roman"/>
          <w:b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>Динамика прибыли прибыльных организаций</w:t>
      </w:r>
    </w:p>
    <w:p w:rsidR="00861E46" w:rsidRDefault="00861E46">
      <w:pPr>
        <w:ind w:firstLine="0"/>
        <w:jc w:val="center"/>
        <w:rPr>
          <w:rFonts w:eastAsia="Times New Roman"/>
          <w:b/>
          <w:bCs/>
          <w:sz w:val="26"/>
          <w:szCs w:val="26"/>
          <w:lang w:eastAsia="ru-RU"/>
        </w:rPr>
      </w:pPr>
    </w:p>
    <w:p w:rsidR="00861E46" w:rsidRDefault="00861E46">
      <w:pPr>
        <w:autoSpaceDN/>
        <w:ind w:firstLine="0"/>
        <w:jc w:val="left"/>
        <w:rPr>
          <w:rFonts w:eastAsia="Times New Roman"/>
          <w:szCs w:val="24"/>
          <w:lang w:eastAsia="ru-RU"/>
        </w:rPr>
        <w:sectPr w:rsidR="00861E46">
          <w:pgSz w:w="11906" w:h="16838"/>
          <w:pgMar w:top="1134" w:right="567" w:bottom="993" w:left="1134" w:header="709" w:footer="709" w:gutter="0"/>
          <w:cols w:space="720"/>
          <w:titlePg/>
        </w:sectPr>
      </w:pPr>
    </w:p>
    <w:p w:rsidR="00861E46" w:rsidRDefault="00861E46">
      <w:pPr>
        <w:tabs>
          <w:tab w:val="left" w:pos="4470"/>
        </w:tabs>
        <w:ind w:firstLine="0"/>
        <w:rPr>
          <w:rFonts w:eastAsia="Times New Roman"/>
          <w:szCs w:val="24"/>
          <w:lang w:eastAsia="ru-RU"/>
        </w:rPr>
      </w:pPr>
    </w:p>
    <w:p w:rsidR="00861E46" w:rsidRDefault="00D2036D">
      <w:pPr>
        <w:tabs>
          <w:tab w:val="left" w:pos="1134"/>
        </w:tabs>
        <w:ind w:firstLine="567"/>
        <w:rPr>
          <w:rFonts w:eastAsia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895975" cy="2743200"/>
            <wp:effectExtent l="0" t="0" r="9525" b="0"/>
            <wp:docPr id="2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аграмма 2"/>
                    <pic:cNvPicPr>
                      <a:picLocks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E46" w:rsidRDefault="00D2036D">
      <w:pPr>
        <w:tabs>
          <w:tab w:val="left" w:pos="1134"/>
        </w:tabs>
        <w:ind w:firstLine="567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Основная часть прибыли в прогнозируемом периоде будет формироваться на промышленных предприятиях округа (около 80%).</w:t>
      </w:r>
    </w:p>
    <w:p w:rsidR="00861E46" w:rsidRDefault="00861E46">
      <w:pPr>
        <w:tabs>
          <w:tab w:val="left" w:pos="1134"/>
        </w:tabs>
        <w:ind w:firstLine="567"/>
        <w:rPr>
          <w:rFonts w:eastAsia="Times New Roman"/>
          <w:sz w:val="28"/>
          <w:szCs w:val="28"/>
          <w:lang w:eastAsia="ru-RU"/>
        </w:rPr>
      </w:pPr>
    </w:p>
    <w:p w:rsidR="00861E46" w:rsidRDefault="00D2036D">
      <w:pPr>
        <w:tabs>
          <w:tab w:val="left" w:pos="1134"/>
        </w:tabs>
        <w:ind w:firstLine="567"/>
        <w:jc w:val="center"/>
        <w:rPr>
          <w:rFonts w:eastAsia="Times New Roman"/>
          <w:b/>
          <w:bCs/>
          <w:iCs/>
          <w:sz w:val="28"/>
          <w:szCs w:val="28"/>
          <w:lang w:eastAsia="ru-RU"/>
        </w:rPr>
      </w:pPr>
      <w:r>
        <w:rPr>
          <w:rFonts w:eastAsia="Times New Roman"/>
          <w:b/>
          <w:bCs/>
          <w:iCs/>
          <w:sz w:val="28"/>
          <w:szCs w:val="28"/>
          <w:lang w:eastAsia="ru-RU"/>
        </w:rPr>
        <w:t>2.2.2. Социальное развитие</w:t>
      </w:r>
    </w:p>
    <w:p w:rsidR="00861E46" w:rsidRDefault="00861E46">
      <w:pPr>
        <w:tabs>
          <w:tab w:val="left" w:pos="1134"/>
        </w:tabs>
        <w:ind w:firstLine="567"/>
        <w:jc w:val="center"/>
        <w:rPr>
          <w:rFonts w:eastAsia="Times New Roman"/>
          <w:b/>
          <w:bCs/>
          <w:iCs/>
          <w:sz w:val="28"/>
          <w:szCs w:val="28"/>
          <w:lang w:eastAsia="ru-RU"/>
        </w:rPr>
      </w:pPr>
    </w:p>
    <w:p w:rsidR="00861E46" w:rsidRDefault="00D2036D">
      <w:pPr>
        <w:ind w:firstLine="567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>Демография</w:t>
      </w:r>
    </w:p>
    <w:p w:rsidR="00861E46" w:rsidRDefault="00D2036D">
      <w:pPr>
        <w:ind w:firstLine="567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Прогноз демографических показателей на 2022-2024 годы предусматривает </w:t>
      </w:r>
      <w:r>
        <w:rPr>
          <w:rFonts w:eastAsia="Times New Roman"/>
          <w:iCs/>
          <w:sz w:val="28"/>
          <w:szCs w:val="28"/>
          <w:lang w:eastAsia="ru-RU"/>
        </w:rPr>
        <w:t>сокращение численности населения, в основном за счет</w:t>
      </w:r>
      <w:r>
        <w:rPr>
          <w:rFonts w:eastAsia="Times New Roman"/>
          <w:sz w:val="28"/>
          <w:szCs w:val="28"/>
          <w:lang w:eastAsia="ru-RU"/>
        </w:rPr>
        <w:t xml:space="preserve"> естественной убыли.</w:t>
      </w:r>
    </w:p>
    <w:p w:rsidR="00861E46" w:rsidRDefault="00D2036D">
      <w:pPr>
        <w:ind w:firstLine="567"/>
        <w:rPr>
          <w:rFonts w:eastAsia="Times New Roman"/>
          <w:iCs/>
          <w:sz w:val="28"/>
          <w:szCs w:val="28"/>
          <w:lang w:eastAsia="ru-RU"/>
        </w:rPr>
      </w:pPr>
      <w:r>
        <w:rPr>
          <w:rFonts w:eastAsia="Times New Roman"/>
          <w:iCs/>
          <w:sz w:val="28"/>
          <w:szCs w:val="28"/>
          <w:lang w:eastAsia="ru-RU"/>
        </w:rPr>
        <w:t xml:space="preserve">В 2022 году среднегодовая численность жителей округа по прогнозу составит 74,319 тыс. чел., </w:t>
      </w:r>
    </w:p>
    <w:p w:rsidR="00861E46" w:rsidRDefault="00D2036D">
      <w:pPr>
        <w:ind w:firstLine="567"/>
        <w:rPr>
          <w:rFonts w:eastAsia="Times New Roman"/>
          <w:iCs/>
          <w:sz w:val="28"/>
          <w:szCs w:val="28"/>
          <w:lang w:eastAsia="ru-RU"/>
        </w:rPr>
      </w:pPr>
      <w:proofErr w:type="gramStart"/>
      <w:r>
        <w:rPr>
          <w:rFonts w:eastAsia="Times New Roman"/>
          <w:iCs/>
          <w:sz w:val="28"/>
          <w:szCs w:val="28"/>
          <w:lang w:eastAsia="ru-RU"/>
        </w:rPr>
        <w:t xml:space="preserve">На 01.07.2021 года численность жителей округа составляет 74,558 тыс. чел., в том числе население, проживающее в городских поселениях 68,584 тыс. чел., в сельских - 5,974 тыс. чел. </w:t>
      </w:r>
      <w:proofErr w:type="gramEnd"/>
    </w:p>
    <w:p w:rsidR="00861E46" w:rsidRDefault="00D2036D">
      <w:pPr>
        <w:ind w:firstLine="0"/>
        <w:jc w:val="center"/>
        <w:rPr>
          <w:rFonts w:eastAsia="Times New Roman"/>
          <w:b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29275" cy="2743200"/>
            <wp:effectExtent l="0" t="0" r="0" b="0"/>
            <wp:docPr id="3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861E46" w:rsidRDefault="00D2036D">
      <w:pPr>
        <w:ind w:firstLine="567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 xml:space="preserve">Уровень жизни населения </w:t>
      </w:r>
    </w:p>
    <w:p w:rsidR="00861E46" w:rsidRDefault="00D2036D">
      <w:pPr>
        <w:ind w:firstLine="567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Прогноз доходов населения разрабатывался с учетом роста основных секторов экономики, в </w:t>
      </w:r>
      <w:proofErr w:type="spellStart"/>
      <w:r>
        <w:rPr>
          <w:rFonts w:eastAsia="Times New Roman"/>
          <w:sz w:val="28"/>
          <w:szCs w:val="28"/>
          <w:lang w:eastAsia="ru-RU"/>
        </w:rPr>
        <w:t>т.ч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. реализации инвестиционных проектов предприятий, прогноза по увеличению оплаты труда работающих на предприятиях Балахнинского </w:t>
      </w:r>
      <w:r>
        <w:rPr>
          <w:rFonts w:eastAsia="Times New Roman"/>
          <w:sz w:val="28"/>
          <w:szCs w:val="28"/>
          <w:lang w:eastAsia="ru-RU"/>
        </w:rPr>
        <w:lastRenderedPageBreak/>
        <w:t>муниципального округа, а также с учетом осуществления мер по повышению оплаты труда работников бюджетной сферы.</w:t>
      </w:r>
    </w:p>
    <w:p w:rsidR="00861E46" w:rsidRDefault="00D2036D">
      <w:pPr>
        <w:ind w:firstLine="567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Прогнозируется, что в 2021 году объем ФОТ достигнет 8 272,30 млн. руб., что на 11,4% выше уровня 2020 года.</w:t>
      </w:r>
    </w:p>
    <w:p w:rsidR="00861E46" w:rsidRDefault="00D2036D">
      <w:pPr>
        <w:ind w:firstLine="567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В 2022 году объем ФОТ достигнет 8 824,70 млн. руб., что на 6,7% выше уровня 2021 года. </w:t>
      </w:r>
    </w:p>
    <w:p w:rsidR="00861E46" w:rsidRDefault="00D2036D">
      <w:pPr>
        <w:ind w:firstLine="567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В 2023-2024 годах ежегодный прирост, в среднем составит 6,6%. </w:t>
      </w:r>
    </w:p>
    <w:p w:rsidR="00861E46" w:rsidRDefault="00861E46">
      <w:pPr>
        <w:ind w:firstLine="567"/>
        <w:rPr>
          <w:rFonts w:eastAsia="Times New Roman"/>
          <w:sz w:val="28"/>
          <w:szCs w:val="28"/>
          <w:lang w:eastAsia="ru-RU"/>
        </w:rPr>
      </w:pPr>
    </w:p>
    <w:p w:rsidR="00861E46" w:rsidRDefault="00D2036D">
      <w:pPr>
        <w:ind w:firstLine="567"/>
        <w:jc w:val="center"/>
        <w:rPr>
          <w:rFonts w:eastAsia="Times New Roman"/>
          <w:b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 xml:space="preserve">Динамика ФОТ </w:t>
      </w:r>
    </w:p>
    <w:p w:rsidR="00861E46" w:rsidRDefault="00D2036D">
      <w:pPr>
        <w:ind w:firstLine="0"/>
        <w:rPr>
          <w:rFonts w:eastAsia="Times New Roman"/>
          <w:b/>
          <w:i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391275" cy="2952750"/>
            <wp:effectExtent l="0" t="0" r="9525" b="0"/>
            <wp:docPr id="4" name="Диаграмма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аграмма 4"/>
                    <pic:cNvPicPr>
                      <a:picLocks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E46" w:rsidRDefault="00D2036D">
      <w:pPr>
        <w:ind w:firstLine="567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По прогнозу к 2022 году ФОТ будет расти, что позволит обеспечить рост реальной заработной платы.</w:t>
      </w:r>
    </w:p>
    <w:p w:rsidR="00861E46" w:rsidRDefault="00D2036D">
      <w:pPr>
        <w:ind w:firstLine="567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Средняя заработная плата всех категорий работающих по прогнозу 2022 года составит 31 991,75 рублей с ростом к 2021 году на 8,1%, уровень реальной заработной платы – 107,2 %.</w:t>
      </w:r>
    </w:p>
    <w:p w:rsidR="00861E46" w:rsidRDefault="00D2036D">
      <w:pPr>
        <w:ind w:firstLine="567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Реальная заработная плата в целом по округу к 2023-2024 году прогнозируется с положительной динамикой на уровне 106,7%.</w:t>
      </w:r>
    </w:p>
    <w:p w:rsidR="00861E46" w:rsidRDefault="00D2036D">
      <w:pPr>
        <w:ind w:firstLine="567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Среднемесячная заработная плата работников в целом по округу к концу 2024 года увеличится в 1,22 раза (в действующих ценах) к 2021 году и достигнет 36 175,75 рублей. </w:t>
      </w:r>
    </w:p>
    <w:p w:rsidR="00861E46" w:rsidRDefault="00861E46">
      <w:pPr>
        <w:ind w:firstLine="567"/>
        <w:rPr>
          <w:rFonts w:eastAsia="Times New Roman"/>
          <w:sz w:val="28"/>
          <w:szCs w:val="28"/>
          <w:lang w:eastAsia="ru-RU"/>
        </w:rPr>
      </w:pPr>
    </w:p>
    <w:p w:rsidR="00861E46" w:rsidRDefault="00D2036D">
      <w:pPr>
        <w:ind w:firstLine="567"/>
        <w:rPr>
          <w:rFonts w:eastAsia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2743200"/>
            <wp:effectExtent l="0" t="0" r="0" b="0"/>
            <wp:docPr id="5" name="Диаграмма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861E46" w:rsidRDefault="00D2036D">
      <w:pPr>
        <w:ind w:firstLine="567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>Рынок труда и занятость населения</w:t>
      </w:r>
    </w:p>
    <w:p w:rsidR="00861E46" w:rsidRDefault="00D2036D">
      <w:pPr>
        <w:ind w:firstLine="567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Ситуация на рынке труда, сложившаяся в Балахнинском муниципальном округе, носит не стабильный характер. </w:t>
      </w:r>
    </w:p>
    <w:p w:rsidR="00861E46" w:rsidRDefault="00D2036D">
      <w:pPr>
        <w:ind w:firstLine="567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Предполагается, что в 2024 году в экономике округа будет занято 29,184 тыс. человек, что выше уровня 2022 года на 2,3%. Данный факт связан с увеличением пенсионного возраста.</w:t>
      </w:r>
    </w:p>
    <w:p w:rsidR="00861E46" w:rsidRDefault="00D2036D">
      <w:pPr>
        <w:ind w:firstLine="567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По оценке 2022 года численность официально зарегистрированных безработных составит 300 чел. </w:t>
      </w:r>
    </w:p>
    <w:p w:rsidR="00861E46" w:rsidRDefault="00D2036D">
      <w:pPr>
        <w:ind w:firstLine="567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В 2023-2024 </w:t>
      </w:r>
      <w:proofErr w:type="spellStart"/>
      <w:r>
        <w:rPr>
          <w:rFonts w:eastAsia="Times New Roman"/>
          <w:sz w:val="28"/>
          <w:szCs w:val="28"/>
          <w:lang w:eastAsia="ru-RU"/>
        </w:rPr>
        <w:t>г.г</w:t>
      </w:r>
      <w:proofErr w:type="spellEnd"/>
      <w:r>
        <w:rPr>
          <w:rFonts w:eastAsia="Times New Roman"/>
          <w:sz w:val="28"/>
          <w:szCs w:val="28"/>
          <w:lang w:eastAsia="ru-RU"/>
        </w:rPr>
        <w:t>. численность официально зарегистрированных безработных планируется на уровне 2022 года.</w:t>
      </w:r>
    </w:p>
    <w:p w:rsidR="00861E46" w:rsidRDefault="00D2036D">
      <w:pPr>
        <w:ind w:firstLine="567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Уровень безработицы прогнозируется к концу 2024 года на 0,54%, что ниже уровня 2021 года.</w:t>
      </w:r>
    </w:p>
    <w:p w:rsidR="00861E46" w:rsidRDefault="00D2036D">
      <w:pPr>
        <w:ind w:firstLine="567"/>
        <w:rPr>
          <w:rFonts w:eastAsia="Times New Roman"/>
          <w:sz w:val="28"/>
          <w:szCs w:val="28"/>
          <w:lang w:eastAsia="ru-RU"/>
        </w:rPr>
      </w:pPr>
      <w:r>
        <w:rPr>
          <w:noProof/>
          <w:color w:val="00B050"/>
          <w:lang w:eastAsia="ru-RU"/>
        </w:rPr>
        <w:drawing>
          <wp:inline distT="0" distB="0" distL="0" distR="0">
            <wp:extent cx="5895975" cy="2743200"/>
            <wp:effectExtent l="0" t="0" r="0" b="0"/>
            <wp:docPr id="6" name="Диаграмма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861E46" w:rsidRDefault="00861E46">
      <w:pPr>
        <w:ind w:firstLine="567"/>
        <w:rPr>
          <w:rFonts w:eastAsia="Times New Roman"/>
          <w:sz w:val="28"/>
          <w:szCs w:val="28"/>
          <w:lang w:eastAsia="ru-RU"/>
        </w:rPr>
      </w:pPr>
    </w:p>
    <w:p w:rsidR="00861E46" w:rsidRDefault="00861E46">
      <w:pPr>
        <w:ind w:firstLine="0"/>
        <w:rPr>
          <w:rFonts w:eastAsia="Times New Roman"/>
          <w:sz w:val="26"/>
          <w:szCs w:val="26"/>
          <w:lang w:eastAsia="ru-RU"/>
        </w:rPr>
      </w:pPr>
    </w:p>
    <w:p w:rsidR="00861E46" w:rsidRDefault="00861E46">
      <w:pPr>
        <w:ind w:firstLine="0"/>
        <w:rPr>
          <w:rFonts w:eastAsia="Times New Roman"/>
          <w:sz w:val="26"/>
          <w:szCs w:val="26"/>
          <w:lang w:eastAsia="ru-RU"/>
        </w:rPr>
      </w:pPr>
    </w:p>
    <w:p w:rsidR="00861E46" w:rsidRDefault="00D2036D">
      <w:pPr>
        <w:ind w:firstLine="567"/>
        <w:jc w:val="center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_____________________</w:t>
      </w:r>
    </w:p>
    <w:p w:rsidR="00861E46" w:rsidRDefault="00861E46">
      <w:pPr>
        <w:ind w:firstLine="0"/>
        <w:rPr>
          <w:rFonts w:eastAsia="Times New Roman"/>
          <w:szCs w:val="24"/>
          <w:lang w:eastAsia="ru-RU"/>
        </w:rPr>
      </w:pPr>
    </w:p>
    <w:p w:rsidR="00861E46" w:rsidRDefault="00861E46">
      <w:pPr>
        <w:ind w:firstLine="0"/>
        <w:jc w:val="center"/>
        <w:rPr>
          <w:rFonts w:eastAsia="Times New Roman"/>
          <w:szCs w:val="24"/>
          <w:lang w:eastAsia="ru-RU"/>
        </w:rPr>
      </w:pPr>
    </w:p>
    <w:sectPr w:rsidR="00861E46">
      <w:type w:val="continuous"/>
      <w:pgSz w:w="11906" w:h="16838"/>
      <w:pgMar w:top="1134" w:right="567" w:bottom="993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1E46" w:rsidRDefault="00D2036D">
      <w:r>
        <w:separator/>
      </w:r>
    </w:p>
  </w:endnote>
  <w:endnote w:type="continuationSeparator" w:id="0">
    <w:p w:rsidR="00861E46" w:rsidRDefault="00D20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E46" w:rsidRDefault="00D2036D">
    <w:pPr>
      <w:pStyle w:val="a9"/>
      <w:framePr w:wrap="auto" w:vAnchor="text" w:hAnchor="margin" w:xAlign="right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separate"/>
    </w:r>
    <w:r>
      <w:rPr>
        <w:rStyle w:val="af6"/>
        <w:noProof/>
      </w:rPr>
      <w:t>10</w:t>
    </w:r>
    <w:r>
      <w:rPr>
        <w:rStyle w:val="af6"/>
      </w:rPr>
      <w:fldChar w:fldCharType="end"/>
    </w:r>
  </w:p>
  <w:p w:rsidR="00861E46" w:rsidRDefault="00861E46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E46" w:rsidRDefault="00861E46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1E46" w:rsidRDefault="00D2036D">
      <w:r>
        <w:separator/>
      </w:r>
    </w:p>
  </w:footnote>
  <w:footnote w:type="continuationSeparator" w:id="0">
    <w:p w:rsidR="00861E46" w:rsidRDefault="00D203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E46" w:rsidRDefault="00D2036D">
    <w:pPr>
      <w:pStyle w:val="a7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end"/>
    </w:r>
  </w:p>
  <w:p w:rsidR="00861E46" w:rsidRDefault="00861E46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E46" w:rsidRDefault="00D2036D">
    <w:pPr>
      <w:pStyle w:val="a7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separate"/>
    </w:r>
    <w:r w:rsidR="00290F2B">
      <w:rPr>
        <w:rStyle w:val="af6"/>
        <w:noProof/>
      </w:rPr>
      <w:t>11</w:t>
    </w:r>
    <w:r>
      <w:rPr>
        <w:rStyle w:val="af6"/>
      </w:rPr>
      <w:fldChar w:fldCharType="end"/>
    </w:r>
  </w:p>
  <w:p w:rsidR="00861E46" w:rsidRDefault="00861E4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36D"/>
    <w:rsid w:val="00290F2B"/>
    <w:rsid w:val="00861E46"/>
    <w:rsid w:val="00D20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autoSpaceDN w:val="0"/>
      <w:ind w:firstLine="709"/>
      <w:jc w:val="both"/>
    </w:pPr>
    <w:rPr>
      <w:rFonts w:ascii="Times New Roman" w:eastAsia="Calibri" w:hAnsi="Times New Roman" w:cs="Times New Roman"/>
      <w:sz w:val="24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semiHidden/>
    <w:unhideWhenUsed/>
    <w:rPr>
      <w:color w:val="0563C1" w:themeColor="hyperlink"/>
      <w:u w:val="single"/>
    </w:rPr>
  </w:style>
  <w:style w:type="character" w:styleId="a5">
    <w:name w:val="FollowedHyperlink"/>
    <w:uiPriority w:val="99"/>
    <w:semiHidden/>
    <w:unhideWhenUsed/>
    <w:rPr>
      <w:color w:val="800080"/>
      <w:u w:val="single"/>
    </w:rPr>
  </w:style>
  <w:style w:type="paragraph" w:styleId="a6">
    <w:name w:val="Normal (Web)"/>
    <w:basedOn w:val="a0"/>
    <w:uiPriority w:val="99"/>
    <w:semiHidden/>
    <w:unhideWhenUsed/>
    <w:pPr>
      <w:widowControl w:val="0"/>
      <w:autoSpaceDE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styleId="a7">
    <w:name w:val="header"/>
    <w:basedOn w:val="a0"/>
    <w:link w:val="a8"/>
    <w:uiPriority w:val="99"/>
    <w:unhideWhenUsed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uiPriority w:val="99"/>
    <w:locked/>
    <w:rPr>
      <w:rFonts w:ascii="Times New Roman" w:eastAsia="Calibri" w:hAnsi="Times New Roman" w:cs="Times New Roman" w:hint="default"/>
      <w:sz w:val="24"/>
    </w:rPr>
  </w:style>
  <w:style w:type="paragraph" w:styleId="a9">
    <w:name w:val="footer"/>
    <w:basedOn w:val="a0"/>
    <w:link w:val="aa"/>
    <w:uiPriority w:val="99"/>
    <w:unhideWhenUsed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locked/>
    <w:rPr>
      <w:rFonts w:ascii="Times New Roman" w:eastAsia="Calibri" w:hAnsi="Times New Roman" w:cs="Times New Roman" w:hint="default"/>
      <w:sz w:val="24"/>
    </w:rPr>
  </w:style>
  <w:style w:type="paragraph" w:styleId="ab">
    <w:name w:val="Body Text"/>
    <w:basedOn w:val="a0"/>
    <w:link w:val="ac"/>
    <w:uiPriority w:val="99"/>
    <w:semiHidden/>
    <w:unhideWhenUsed/>
    <w:pPr>
      <w:spacing w:after="120"/>
    </w:pPr>
  </w:style>
  <w:style w:type="character" w:customStyle="1" w:styleId="ac">
    <w:name w:val="Основной текст Знак"/>
    <w:basedOn w:val="a1"/>
    <w:link w:val="ab"/>
    <w:uiPriority w:val="99"/>
    <w:semiHidden/>
    <w:locked/>
    <w:rPr>
      <w:rFonts w:ascii="Times New Roman" w:eastAsia="Calibri" w:hAnsi="Times New Roman" w:cs="Times New Roman" w:hint="default"/>
      <w:sz w:val="24"/>
    </w:rPr>
  </w:style>
  <w:style w:type="paragraph" w:styleId="2">
    <w:name w:val="Body Text Indent 2"/>
    <w:basedOn w:val="a0"/>
    <w:link w:val="20"/>
    <w:uiPriority w:val="99"/>
    <w:semiHidden/>
    <w:unhideWhenUsed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1"/>
    <w:link w:val="2"/>
    <w:uiPriority w:val="99"/>
    <w:semiHidden/>
    <w:locked/>
    <w:rPr>
      <w:rFonts w:ascii="Times New Roman" w:eastAsia="Calibri" w:hAnsi="Times New Roman" w:cs="Times New Roman" w:hint="default"/>
      <w:sz w:val="24"/>
    </w:rPr>
  </w:style>
  <w:style w:type="paragraph" w:styleId="ad">
    <w:name w:val="Balloon Text"/>
    <w:basedOn w:val="a0"/>
    <w:link w:val="ae"/>
    <w:uiPriority w:val="99"/>
    <w:semiHidden/>
    <w:unhideWhenUsed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e">
    <w:name w:val="Текст выноски Знак"/>
    <w:basedOn w:val="a1"/>
    <w:link w:val="ad"/>
    <w:semiHidden/>
    <w:locked/>
    <w:rPr>
      <w:rFonts w:ascii="Tahoma" w:eastAsia="Calibri" w:hAnsi="Tahoma" w:cs="Times New Roman" w:hint="default"/>
      <w:sz w:val="16"/>
      <w:szCs w:val="16"/>
      <w:lang w:val="x-none" w:eastAsia="ar-SA"/>
    </w:rPr>
  </w:style>
  <w:style w:type="paragraph" w:styleId="af">
    <w:name w:val="No Spacing"/>
    <w:uiPriority w:val="1"/>
    <w:semiHidden/>
    <w:qFormat/>
    <w:pPr>
      <w:autoSpaceDN w:val="0"/>
      <w:jc w:val="both"/>
    </w:pPr>
    <w:rPr>
      <w:rFonts w:ascii="Times New Roman" w:eastAsia="Calibri" w:hAnsi="Times New Roman" w:cs="Times New Roman"/>
      <w:sz w:val="24"/>
      <w:szCs w:val="22"/>
    </w:rPr>
  </w:style>
  <w:style w:type="paragraph" w:styleId="af0">
    <w:name w:val="List Paragraph"/>
    <w:basedOn w:val="a0"/>
    <w:uiPriority w:val="34"/>
    <w:semiHidden/>
    <w:qFormat/>
    <w:pPr>
      <w:widowControl w:val="0"/>
      <w:autoSpaceDE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">
    <w:name w:val="Знак Знак3 Знак Знак Знак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semiHidden/>
    <w:pPr>
      <w:suppressAutoHyphens/>
      <w:autoSpaceDE w:val="0"/>
    </w:pPr>
    <w:rPr>
      <w:rFonts w:ascii="Arial" w:eastAsia="Times New Roman" w:hAnsi="Arial" w:cs="Arial"/>
      <w:b/>
      <w:bCs/>
      <w:sz w:val="22"/>
      <w:szCs w:val="22"/>
      <w:lang w:eastAsia="ar-SA"/>
    </w:rPr>
  </w:style>
  <w:style w:type="paragraph" w:customStyle="1" w:styleId="11">
    <w:name w:val="Знак1 Знак Знак1 Знак Знак Знак Знак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paragraph" w:customStyle="1" w:styleId="font5">
    <w:name w:val="font5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uiPriority w:val="99"/>
    <w:semiHidden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uiPriority w:val="99"/>
    <w:semiHidden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uiPriority w:val="99"/>
    <w:semiHidden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uiPriority w:val="99"/>
    <w:semiHidden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uiPriority w:val="99"/>
    <w:semiHidden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uiPriority w:val="99"/>
    <w:semiHidden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uiPriority w:val="99"/>
    <w:semiHidden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uiPriority w:val="99"/>
    <w:semiHidden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uiPriority w:val="99"/>
    <w:semiHidden/>
    <w:pPr>
      <w:shd w:val="clear" w:color="auto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uiPriority w:val="99"/>
    <w:semiHidden/>
    <w:pPr>
      <w:shd w:val="clear" w:color="auto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uiPriority w:val="99"/>
    <w:semiHidden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uiPriority w:val="99"/>
    <w:semiHidden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uiPriority w:val="99"/>
    <w:semiHidden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uiPriority w:val="99"/>
    <w:semiHidden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af1">
    <w:name w:val="Заголовок"/>
    <w:basedOn w:val="a0"/>
    <w:next w:val="ab"/>
    <w:uiPriority w:val="99"/>
    <w:semiHidden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2"/>
      <w:sz w:val="28"/>
      <w:szCs w:val="28"/>
      <w:lang w:eastAsia="hi-IN" w:bidi="hi-IN"/>
    </w:rPr>
  </w:style>
  <w:style w:type="character" w:customStyle="1" w:styleId="ConsPlusNormal">
    <w:name w:val="ConsPlusNormal Знак"/>
    <w:link w:val="ConsPlusNormal0"/>
    <w:locked/>
    <w:rPr>
      <w:rFonts w:ascii="Arial" w:eastAsia="Calibri" w:hAnsi="Arial" w:cs="Arial" w:hint="default"/>
      <w:sz w:val="20"/>
      <w:szCs w:val="20"/>
    </w:rPr>
  </w:style>
  <w:style w:type="paragraph" w:customStyle="1" w:styleId="ConsPlusNormal0">
    <w:name w:val="ConsPlusNormal"/>
    <w:link w:val="ConsPlusNormal"/>
    <w:uiPriority w:val="99"/>
    <w:semiHidden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ConsPlusTitle">
    <w:name w:val="ConsPlusTitle"/>
    <w:uiPriority w:val="99"/>
    <w:semiHidden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lang w:eastAsia="ru-RU"/>
    </w:rPr>
  </w:style>
  <w:style w:type="paragraph" w:customStyle="1" w:styleId="ConsPlusTitlePage">
    <w:name w:val="ConsPlusTitlePage"/>
    <w:uiPriority w:val="99"/>
    <w:semiHidden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FORMATTEXT">
    <w:name w:val=".FORMATTEXT"/>
    <w:uiPriority w:val="99"/>
    <w:semiHidden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HEADERTEXT">
    <w:name w:val=".HEADERTEXT"/>
    <w:uiPriority w:val="99"/>
    <w:semiHidden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2B4279"/>
      <w:lang w:eastAsia="ru-RU"/>
    </w:rPr>
  </w:style>
  <w:style w:type="paragraph" w:customStyle="1" w:styleId="headertext0">
    <w:name w:val="headertext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2">
    <w:name w:val="Текст ТД Знак"/>
    <w:link w:val="a"/>
    <w:locked/>
    <w:rPr>
      <w:rFonts w:ascii="Times New Roman" w:eastAsia="Calibri" w:hAnsi="Times New Roman" w:cs="Times New Roman" w:hint="default"/>
      <w:sz w:val="24"/>
      <w:szCs w:val="24"/>
    </w:rPr>
  </w:style>
  <w:style w:type="paragraph" w:customStyle="1" w:styleId="a">
    <w:name w:val="Текст ТД"/>
    <w:basedOn w:val="a0"/>
    <w:link w:val="af2"/>
    <w:uiPriority w:val="99"/>
    <w:semiHidden/>
    <w:qFormat/>
    <w:pPr>
      <w:numPr>
        <w:numId w:val="2"/>
      </w:numPr>
      <w:autoSpaceDE w:val="0"/>
      <w:adjustRightInd w:val="0"/>
      <w:spacing w:after="200"/>
    </w:pPr>
    <w:rPr>
      <w:szCs w:val="24"/>
    </w:rPr>
  </w:style>
  <w:style w:type="paragraph" w:customStyle="1" w:styleId="af3">
    <w:name w:val="ПолеКому"/>
    <w:uiPriority w:val="99"/>
    <w:semiHidden/>
    <w:pPr>
      <w:autoSpaceDN w:val="0"/>
    </w:pPr>
    <w:rPr>
      <w:rFonts w:ascii="Times New Roman" w:eastAsia="Times New Roman" w:hAnsi="Times New Roman" w:cs="Times New Roman"/>
      <w:noProof/>
      <w:sz w:val="24"/>
      <w:lang w:eastAsia="ru-RU"/>
    </w:rPr>
  </w:style>
  <w:style w:type="paragraph" w:customStyle="1" w:styleId="af4">
    <w:name w:val="Знак Знак"/>
    <w:basedOn w:val="a0"/>
    <w:uiPriority w:val="99"/>
    <w:semiHidden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character" w:customStyle="1" w:styleId="apple-converted-space">
    <w:name w:val="apple-converted-space"/>
    <w:rPr>
      <w:rFonts w:ascii="Times New Roman" w:hAnsi="Times New Roman" w:cs="Times New Roman" w:hint="default"/>
    </w:rPr>
  </w:style>
  <w:style w:type="table" w:styleId="af5">
    <w:name w:val="Table Grid"/>
    <w:basedOn w:val="a2"/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2"/>
    <w:uiPriority w:val="39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rPr>
      <w:rFonts w:ascii="Times New Roman" w:eastAsia="SimSu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"/>
    <w:basedOn w:val="a2"/>
    <w:uiPriority w:val="59"/>
    <w:rPr>
      <w:rFonts w:ascii="Calibri" w:eastAsia="Times New Roman" w:hAnsi="Calibri" w:cs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page number"/>
    <w:basedOn w:val="a1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autoSpaceDN w:val="0"/>
      <w:ind w:firstLine="709"/>
      <w:jc w:val="both"/>
    </w:pPr>
    <w:rPr>
      <w:rFonts w:ascii="Times New Roman" w:eastAsia="Calibri" w:hAnsi="Times New Roman" w:cs="Times New Roman"/>
      <w:sz w:val="24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semiHidden/>
    <w:unhideWhenUsed/>
    <w:rPr>
      <w:color w:val="0563C1" w:themeColor="hyperlink"/>
      <w:u w:val="single"/>
    </w:rPr>
  </w:style>
  <w:style w:type="character" w:styleId="a5">
    <w:name w:val="FollowedHyperlink"/>
    <w:uiPriority w:val="99"/>
    <w:semiHidden/>
    <w:unhideWhenUsed/>
    <w:rPr>
      <w:color w:val="800080"/>
      <w:u w:val="single"/>
    </w:rPr>
  </w:style>
  <w:style w:type="paragraph" w:styleId="a6">
    <w:name w:val="Normal (Web)"/>
    <w:basedOn w:val="a0"/>
    <w:uiPriority w:val="99"/>
    <w:semiHidden/>
    <w:unhideWhenUsed/>
    <w:pPr>
      <w:widowControl w:val="0"/>
      <w:autoSpaceDE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styleId="a7">
    <w:name w:val="header"/>
    <w:basedOn w:val="a0"/>
    <w:link w:val="a8"/>
    <w:uiPriority w:val="99"/>
    <w:unhideWhenUsed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uiPriority w:val="99"/>
    <w:locked/>
    <w:rPr>
      <w:rFonts w:ascii="Times New Roman" w:eastAsia="Calibri" w:hAnsi="Times New Roman" w:cs="Times New Roman" w:hint="default"/>
      <w:sz w:val="24"/>
    </w:rPr>
  </w:style>
  <w:style w:type="paragraph" w:styleId="a9">
    <w:name w:val="footer"/>
    <w:basedOn w:val="a0"/>
    <w:link w:val="aa"/>
    <w:uiPriority w:val="99"/>
    <w:unhideWhenUsed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locked/>
    <w:rPr>
      <w:rFonts w:ascii="Times New Roman" w:eastAsia="Calibri" w:hAnsi="Times New Roman" w:cs="Times New Roman" w:hint="default"/>
      <w:sz w:val="24"/>
    </w:rPr>
  </w:style>
  <w:style w:type="paragraph" w:styleId="ab">
    <w:name w:val="Body Text"/>
    <w:basedOn w:val="a0"/>
    <w:link w:val="ac"/>
    <w:uiPriority w:val="99"/>
    <w:semiHidden/>
    <w:unhideWhenUsed/>
    <w:pPr>
      <w:spacing w:after="120"/>
    </w:pPr>
  </w:style>
  <w:style w:type="character" w:customStyle="1" w:styleId="ac">
    <w:name w:val="Основной текст Знак"/>
    <w:basedOn w:val="a1"/>
    <w:link w:val="ab"/>
    <w:uiPriority w:val="99"/>
    <w:semiHidden/>
    <w:locked/>
    <w:rPr>
      <w:rFonts w:ascii="Times New Roman" w:eastAsia="Calibri" w:hAnsi="Times New Roman" w:cs="Times New Roman" w:hint="default"/>
      <w:sz w:val="24"/>
    </w:rPr>
  </w:style>
  <w:style w:type="paragraph" w:styleId="2">
    <w:name w:val="Body Text Indent 2"/>
    <w:basedOn w:val="a0"/>
    <w:link w:val="20"/>
    <w:uiPriority w:val="99"/>
    <w:semiHidden/>
    <w:unhideWhenUsed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1"/>
    <w:link w:val="2"/>
    <w:uiPriority w:val="99"/>
    <w:semiHidden/>
    <w:locked/>
    <w:rPr>
      <w:rFonts w:ascii="Times New Roman" w:eastAsia="Calibri" w:hAnsi="Times New Roman" w:cs="Times New Roman" w:hint="default"/>
      <w:sz w:val="24"/>
    </w:rPr>
  </w:style>
  <w:style w:type="paragraph" w:styleId="ad">
    <w:name w:val="Balloon Text"/>
    <w:basedOn w:val="a0"/>
    <w:link w:val="ae"/>
    <w:uiPriority w:val="99"/>
    <w:semiHidden/>
    <w:unhideWhenUsed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e">
    <w:name w:val="Текст выноски Знак"/>
    <w:basedOn w:val="a1"/>
    <w:link w:val="ad"/>
    <w:semiHidden/>
    <w:locked/>
    <w:rPr>
      <w:rFonts w:ascii="Tahoma" w:eastAsia="Calibri" w:hAnsi="Tahoma" w:cs="Times New Roman" w:hint="default"/>
      <w:sz w:val="16"/>
      <w:szCs w:val="16"/>
      <w:lang w:val="x-none" w:eastAsia="ar-SA"/>
    </w:rPr>
  </w:style>
  <w:style w:type="paragraph" w:styleId="af">
    <w:name w:val="No Spacing"/>
    <w:uiPriority w:val="1"/>
    <w:semiHidden/>
    <w:qFormat/>
    <w:pPr>
      <w:autoSpaceDN w:val="0"/>
      <w:jc w:val="both"/>
    </w:pPr>
    <w:rPr>
      <w:rFonts w:ascii="Times New Roman" w:eastAsia="Calibri" w:hAnsi="Times New Roman" w:cs="Times New Roman"/>
      <w:sz w:val="24"/>
      <w:szCs w:val="22"/>
    </w:rPr>
  </w:style>
  <w:style w:type="paragraph" w:styleId="af0">
    <w:name w:val="List Paragraph"/>
    <w:basedOn w:val="a0"/>
    <w:uiPriority w:val="34"/>
    <w:semiHidden/>
    <w:qFormat/>
    <w:pPr>
      <w:widowControl w:val="0"/>
      <w:autoSpaceDE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">
    <w:name w:val="Знак Знак3 Знак Знак Знак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semiHidden/>
    <w:pPr>
      <w:suppressAutoHyphens/>
      <w:autoSpaceDE w:val="0"/>
    </w:pPr>
    <w:rPr>
      <w:rFonts w:ascii="Arial" w:eastAsia="Times New Roman" w:hAnsi="Arial" w:cs="Arial"/>
      <w:b/>
      <w:bCs/>
      <w:sz w:val="22"/>
      <w:szCs w:val="22"/>
      <w:lang w:eastAsia="ar-SA"/>
    </w:rPr>
  </w:style>
  <w:style w:type="paragraph" w:customStyle="1" w:styleId="11">
    <w:name w:val="Знак1 Знак Знак1 Знак Знак Знак Знак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paragraph" w:customStyle="1" w:styleId="font5">
    <w:name w:val="font5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uiPriority w:val="99"/>
    <w:semiHidden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uiPriority w:val="99"/>
    <w:semiHidden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uiPriority w:val="99"/>
    <w:semiHidden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uiPriority w:val="99"/>
    <w:semiHidden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uiPriority w:val="99"/>
    <w:semiHidden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uiPriority w:val="99"/>
    <w:semiHidden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uiPriority w:val="99"/>
    <w:semiHidden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uiPriority w:val="99"/>
    <w:semiHidden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uiPriority w:val="99"/>
    <w:semiHidden/>
    <w:pPr>
      <w:shd w:val="clear" w:color="auto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uiPriority w:val="99"/>
    <w:semiHidden/>
    <w:pPr>
      <w:shd w:val="clear" w:color="auto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uiPriority w:val="99"/>
    <w:semiHidden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uiPriority w:val="99"/>
    <w:semiHidden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uiPriority w:val="99"/>
    <w:semiHidden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uiPriority w:val="99"/>
    <w:semiHidden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af1">
    <w:name w:val="Заголовок"/>
    <w:basedOn w:val="a0"/>
    <w:next w:val="ab"/>
    <w:uiPriority w:val="99"/>
    <w:semiHidden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2"/>
      <w:sz w:val="28"/>
      <w:szCs w:val="28"/>
      <w:lang w:eastAsia="hi-IN" w:bidi="hi-IN"/>
    </w:rPr>
  </w:style>
  <w:style w:type="character" w:customStyle="1" w:styleId="ConsPlusNormal">
    <w:name w:val="ConsPlusNormal Знак"/>
    <w:link w:val="ConsPlusNormal0"/>
    <w:locked/>
    <w:rPr>
      <w:rFonts w:ascii="Arial" w:eastAsia="Calibri" w:hAnsi="Arial" w:cs="Arial" w:hint="default"/>
      <w:sz w:val="20"/>
      <w:szCs w:val="20"/>
    </w:rPr>
  </w:style>
  <w:style w:type="paragraph" w:customStyle="1" w:styleId="ConsPlusNormal0">
    <w:name w:val="ConsPlusNormal"/>
    <w:link w:val="ConsPlusNormal"/>
    <w:uiPriority w:val="99"/>
    <w:semiHidden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ConsPlusTitle">
    <w:name w:val="ConsPlusTitle"/>
    <w:uiPriority w:val="99"/>
    <w:semiHidden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lang w:eastAsia="ru-RU"/>
    </w:rPr>
  </w:style>
  <w:style w:type="paragraph" w:customStyle="1" w:styleId="ConsPlusTitlePage">
    <w:name w:val="ConsPlusTitlePage"/>
    <w:uiPriority w:val="99"/>
    <w:semiHidden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FORMATTEXT">
    <w:name w:val=".FORMATTEXT"/>
    <w:uiPriority w:val="99"/>
    <w:semiHidden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HEADERTEXT">
    <w:name w:val=".HEADERTEXT"/>
    <w:uiPriority w:val="99"/>
    <w:semiHidden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2B4279"/>
      <w:lang w:eastAsia="ru-RU"/>
    </w:rPr>
  </w:style>
  <w:style w:type="paragraph" w:customStyle="1" w:styleId="headertext0">
    <w:name w:val="headertext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2">
    <w:name w:val="Текст ТД Знак"/>
    <w:link w:val="a"/>
    <w:locked/>
    <w:rPr>
      <w:rFonts w:ascii="Times New Roman" w:eastAsia="Calibri" w:hAnsi="Times New Roman" w:cs="Times New Roman" w:hint="default"/>
      <w:sz w:val="24"/>
      <w:szCs w:val="24"/>
    </w:rPr>
  </w:style>
  <w:style w:type="paragraph" w:customStyle="1" w:styleId="a">
    <w:name w:val="Текст ТД"/>
    <w:basedOn w:val="a0"/>
    <w:link w:val="af2"/>
    <w:uiPriority w:val="99"/>
    <w:semiHidden/>
    <w:qFormat/>
    <w:pPr>
      <w:numPr>
        <w:numId w:val="2"/>
      </w:numPr>
      <w:autoSpaceDE w:val="0"/>
      <w:adjustRightInd w:val="0"/>
      <w:spacing w:after="200"/>
    </w:pPr>
    <w:rPr>
      <w:szCs w:val="24"/>
    </w:rPr>
  </w:style>
  <w:style w:type="paragraph" w:customStyle="1" w:styleId="af3">
    <w:name w:val="ПолеКому"/>
    <w:uiPriority w:val="99"/>
    <w:semiHidden/>
    <w:pPr>
      <w:autoSpaceDN w:val="0"/>
    </w:pPr>
    <w:rPr>
      <w:rFonts w:ascii="Times New Roman" w:eastAsia="Times New Roman" w:hAnsi="Times New Roman" w:cs="Times New Roman"/>
      <w:noProof/>
      <w:sz w:val="24"/>
      <w:lang w:eastAsia="ru-RU"/>
    </w:rPr>
  </w:style>
  <w:style w:type="paragraph" w:customStyle="1" w:styleId="af4">
    <w:name w:val="Знак Знак"/>
    <w:basedOn w:val="a0"/>
    <w:uiPriority w:val="99"/>
    <w:semiHidden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character" w:customStyle="1" w:styleId="apple-converted-space">
    <w:name w:val="apple-converted-space"/>
    <w:rPr>
      <w:rFonts w:ascii="Times New Roman" w:hAnsi="Times New Roman" w:cs="Times New Roman" w:hint="default"/>
    </w:rPr>
  </w:style>
  <w:style w:type="table" w:styleId="af5">
    <w:name w:val="Table Grid"/>
    <w:basedOn w:val="a2"/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2"/>
    <w:uiPriority w:val="39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rPr>
      <w:rFonts w:ascii="Times New Roman" w:eastAsia="SimSu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"/>
    <w:basedOn w:val="a2"/>
    <w:uiPriority w:val="59"/>
    <w:rPr>
      <w:rFonts w:ascii="Calibri" w:eastAsia="Times New Roman" w:hAnsi="Calibri" w:cs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page number"/>
    <w:basedOn w:val="a1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chart" Target="charts/chart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image" Target="media/image1.png"/><Relationship Id="rId10" Type="http://schemas.openxmlformats.org/officeDocument/2006/relationships/header" Target="header1.xml"/><Relationship Id="rId19" Type="http://schemas.openxmlformats.org/officeDocument/2006/relationships/chart" Target="charts/chart4.xml"/><Relationship Id="rId4" Type="http://schemas.microsoft.com/office/2007/relationships/stylesWithEffects" Target="stylesWithEffects.xml"/><Relationship Id="rId9" Type="http://schemas.openxmlformats.org/officeDocument/2006/relationships/hyperlink" Target="kodeks://link/d?nd=901714433" TargetMode="External"/><Relationship Id="rId1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20"/>
      <c:rotY val="18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1410584374259085E-4"/>
          <c:y val="1.2310922673127397E-3"/>
          <c:w val="0.98650366072661966"/>
          <c:h val="0.94479838111839076"/>
        </c:manualLayout>
      </c:layout>
      <c:pie3DChart>
        <c:varyColors val="1"/>
        <c:ser>
          <c:idx val="0"/>
          <c:order val="0"/>
          <c:explosion val="25"/>
          <c:dPt>
            <c:idx val="0"/>
            <c:bubble3D val="0"/>
            <c:explosion val="20"/>
          </c:dPt>
          <c:dPt>
            <c:idx val="1"/>
            <c:bubble3D val="0"/>
          </c:dPt>
          <c:dPt>
            <c:idx val="2"/>
            <c:bubble3D val="0"/>
          </c:dPt>
          <c:dPt>
            <c:idx val="3"/>
            <c:bubble3D val="0"/>
          </c:dPt>
          <c:dPt>
            <c:idx val="4"/>
            <c:bubble3D val="0"/>
          </c:dPt>
          <c:dPt>
            <c:idx val="5"/>
            <c:bubble3D val="0"/>
          </c:dPt>
          <c:dPt>
            <c:idx val="6"/>
            <c:bubble3D val="0"/>
          </c:dPt>
          <c:dPt>
            <c:idx val="7"/>
            <c:bubble3D val="0"/>
          </c:dPt>
          <c:dPt>
            <c:idx val="8"/>
            <c:bubble3D val="0"/>
          </c:dPt>
          <c:dPt>
            <c:idx val="9"/>
            <c:bubble3D val="0"/>
          </c:dPt>
          <c:dPt>
            <c:idx val="10"/>
            <c:bubble3D val="0"/>
          </c:dPt>
          <c:dPt>
            <c:idx val="11"/>
            <c:bubble3D val="0"/>
          </c:dPt>
          <c:dPt>
            <c:idx val="12"/>
            <c:bubble3D val="0"/>
          </c:dPt>
          <c:dLbls>
            <c:dLbl>
              <c:idx val="0"/>
              <c:layout>
                <c:manualLayout>
                  <c:x val="8.8657655903348162E-2"/>
                  <c:y val="-2.6138017363214215E-2"/>
                </c:manualLayout>
              </c:layout>
              <c:tx>
                <c:rich>
                  <a:bodyPr/>
                  <a:lstStyle/>
                  <a:p>
                    <a:r>
                      <a:rPr lang="ru-RU" baseline="0"/>
                      <a:t>обрабатывающие производства 88,91%</a:t>
                    </a:r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3128559009363132E-2"/>
                  <c:y val="-7.5245386634363018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обеспечение электрической энергией, газом и паром; кондиционирование воздуха
4,59%</a:t>
                    </a:r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0.10614256419215427"/>
                  <c:y val="4.4308822935594593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водоснабжение; водоотведение, организация сбора и утилизации отходов, деятельность по ликвидации загрязнений
1,18%</a:t>
                    </a:r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7669740569275116E-2"/>
                  <c:y val="3.360064607308702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строительство
1,40%</a:t>
                    </a:r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0.42601578130784368"/>
                  <c:y val="0.21558376741368868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торговля оптовая и розничная; ремонт автотранспортных средств и мотоциклов
0,03%</a:t>
                    </a:r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0.19555261614485195"/>
                  <c:y val="0.246803149606299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транспортировка и хранение
0,09%</a:t>
                    </a:r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1.4398675601365219E-3"/>
                  <c:y val="9.1748354532606352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деятельность гостиниц и предприятий общественного питания
0,06%</a:t>
                    </a:r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7.1100906364517352E-2"/>
                  <c:y val="0.25486468806783769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деятельность в области информации и связи
0,01%</a:t>
                    </a:r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0.2170616153171028"/>
                  <c:y val="0.22896910963052694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деятельность по операциям с недвижимым имуществом
0,66%</a:t>
                    </a:r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-0.23552466401287794"/>
                  <c:y val="9.1836220472440944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образование
0,29%</a:t>
                    </a:r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-0.52270453515022186"/>
                  <c:y val="0.17545697557036138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деятельность в области здравоохранения и социальных услуг
2,12%</a:t>
                    </a:r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-0.37499365669624102"/>
                  <c:y val="2.151617201695942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деятельность в области культуры, спорта, организации досуга и развлечений
0,03%</a:t>
                    </a:r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-0.17579994259830042"/>
                  <c:y val="-4.5711124570967092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предоставление прочих видов услуг
0,62%</a:t>
                    </a:r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</c:dLbl>
            <c:numFmt formatCode="0.00%" sourceLinked="0"/>
            <c:spPr>
              <a:noFill/>
              <a:ln w="25392">
                <a:noFill/>
              </a:ln>
            </c:spPr>
            <c:txPr>
              <a:bodyPr/>
              <a:lstStyle/>
              <a:p>
                <a:pPr>
                  <a:defRPr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Лист3!$B$5:$B$17</c:f>
              <c:strCache>
                <c:ptCount val="13"/>
                <c:pt idx="0">
                  <c:v>ОБРАБАТЫВАЮЩИЕ ПРОИЗВОДСТВА</c:v>
                </c:pt>
                <c:pt idx="1">
                  <c:v>ОБЕСПЕЧЕНИЕ ЭЛЕКТРИЧЕСКОЙ ЭНЕРГИЕЙ, ГАЗОМ И ПАРОМ; КОНДИЦИОНИРОВАНИЕ ВОЗДУХА</c:v>
                </c:pt>
                <c:pt idx="2">
                  <c:v>ВОДОСНАБЖЕНИЕ; ВОДООТВЕДЕНИЕ, ОРГАНИЗАЦИЯ СБОРА И УТИЛИЗАЦИИ ОТХОДОВ, ДЕЯТЕЛЬНОСТЬ ПО ЛИКВИДАЦИИ ЗАГРЯЗНЕНИЙ</c:v>
                </c:pt>
                <c:pt idx="3">
                  <c:v>СТРОИТЕЛЬСТВО</c:v>
                </c:pt>
                <c:pt idx="4">
                  <c:v>ТОРГОВЛЯ ОПТОВАЯ И РОЗНИЧНАЯ; РЕМОНТ АВТОТРАНСПОРТНЫХ СРЕДСТВ И МОТОЦИКЛОВ</c:v>
                </c:pt>
                <c:pt idx="5">
                  <c:v>ТРАНСПОРТИРОВКА И ХРАНЕНИЕ</c:v>
                </c:pt>
                <c:pt idx="6">
                  <c:v>ДЕЯТЕЛЬНОСТЬ ГОСТИНИЦ И ПРЕДПРИЯТИЙ ОБЩЕСТВЕННОГО ПИТАНИЯ</c:v>
                </c:pt>
                <c:pt idx="7">
                  <c:v>ДЕЯТЕЛЬНОСТЬ В ОБЛАСТИ ИНФОРМАЦИИ И СВЯЗИ</c:v>
                </c:pt>
                <c:pt idx="8">
                  <c:v>ДЕЯТЕЛЬНОСТЬ ПО ОПЕРАЦИЯМ С НЕДВИЖИМЫМ ИМУЩЕСТВОМ</c:v>
                </c:pt>
                <c:pt idx="9">
                  <c:v>ОБРАЗОВАНИЕ</c:v>
                </c:pt>
                <c:pt idx="10">
                  <c:v>ДЕЯТЕЛЬНОСТЬ В ОБЛАСТИ ЗДРАВООХРАНЕНИЯ И СОЦИАЛЬНЫХ УСЛУГ</c:v>
                </c:pt>
                <c:pt idx="11">
                  <c:v>ДЕЯТЕЛЬНОСТЬ В ОБЛАСТИ КУЛЬТУРЫ, СПОРТА, ОРГАНИЗАЦИИ ДОСУГА И РАЗВЛЕЧЕНИЙ</c:v>
                </c:pt>
                <c:pt idx="12">
                  <c:v>ПРЕДОСТАВЛЕНИЕ ПРОЧИХ ВИДОВ УСЛУГ</c:v>
                </c:pt>
              </c:strCache>
            </c:strRef>
          </c:cat>
          <c:val>
            <c:numRef>
              <c:f>Лист3!$C$5:$C$17</c:f>
              <c:numCache>
                <c:formatCode>General</c:formatCode>
                <c:ptCount val="13"/>
                <c:pt idx="0">
                  <c:v>11948.83</c:v>
                </c:pt>
                <c:pt idx="1">
                  <c:v>617.21</c:v>
                </c:pt>
                <c:pt idx="2">
                  <c:v>158.49</c:v>
                </c:pt>
                <c:pt idx="3">
                  <c:v>188.68</c:v>
                </c:pt>
                <c:pt idx="4">
                  <c:v>4.41</c:v>
                </c:pt>
                <c:pt idx="5">
                  <c:v>12.51</c:v>
                </c:pt>
                <c:pt idx="6">
                  <c:v>8.2899999999999991</c:v>
                </c:pt>
                <c:pt idx="7">
                  <c:v>1.1499999999999999</c:v>
                </c:pt>
                <c:pt idx="8">
                  <c:v>88.92</c:v>
                </c:pt>
                <c:pt idx="9">
                  <c:v>38.590000000000003</c:v>
                </c:pt>
                <c:pt idx="10">
                  <c:v>285.02999999999997</c:v>
                </c:pt>
                <c:pt idx="11">
                  <c:v>4.1500000000000004</c:v>
                </c:pt>
                <c:pt idx="12">
                  <c:v>82.9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392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>
          <a:noFill/>
        </a:defRPr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4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Динамика</a:t>
            </a:r>
            <a:r>
              <a:rPr lang="ru-RU" sz="14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численности населения, тыс. чел.</a:t>
            </a:r>
            <a:endParaRPr lang="ru-RU" sz="140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</c:title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2.7072758037225041E-2"/>
          <c:y val="0.20358814523184601"/>
          <c:w val="0.9503666102650874"/>
          <c:h val="0.54617271799358413"/>
        </c:manualLayout>
      </c:layout>
      <c:bar3DChart>
        <c:barDir val="col"/>
        <c:grouping val="stacked"/>
        <c:varyColors val="0"/>
        <c:ser>
          <c:idx val="0"/>
          <c:order val="0"/>
          <c:spPr>
            <a:solidFill>
              <a:srgbClr val="5B9BD5">
                <a:lumMod val="60000"/>
                <a:lumOff val="40000"/>
              </a:srgbClr>
            </a:solidFill>
            <a:ln>
              <a:solidFill>
                <a:sysClr val="window" lastClr="FFFFFF"/>
              </a:solidFill>
            </a:ln>
          </c:spPr>
          <c:invertIfNegative val="0"/>
          <c:dLbls>
            <c:dLbl>
              <c:idx val="0"/>
              <c:layout>
                <c:manualLayout>
                  <c:x val="2.5000000000000001E-2"/>
                  <c:y val="-0.3333336978710994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9444422239098286E-2"/>
                  <c:y val="-0.3194448089822105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6666622255974348E-2"/>
                  <c:y val="-0.287037401574803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2.7946938104818034E-2"/>
                  <c:y val="-0.2685185185185185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2.3956548578635793E-2"/>
                  <c:y val="-0.2222225867599883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398">
                <a:noFill/>
              </a:ln>
            </c:spPr>
            <c:txPr>
              <a:bodyPr/>
              <a:lstStyle/>
              <a:p>
                <a:pPr>
                  <a:defRPr sz="12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Лист4!$B$4:$B$8</c:f>
              <c:strCache>
                <c:ptCount val="5"/>
                <c:pt idx="0">
                  <c:v>2020 факт</c:v>
                </c:pt>
                <c:pt idx="1">
                  <c:v>2021 оценка</c:v>
                </c:pt>
                <c:pt idx="2">
                  <c:v>2022 прогноз</c:v>
                </c:pt>
                <c:pt idx="3">
                  <c:v>2023 прогноз</c:v>
                </c:pt>
                <c:pt idx="4">
                  <c:v>2024 прогноз</c:v>
                </c:pt>
              </c:strCache>
            </c:strRef>
          </c:cat>
          <c:val>
            <c:numRef>
              <c:f>Лист4!$C$4:$C$8</c:f>
              <c:numCache>
                <c:formatCode>General</c:formatCode>
                <c:ptCount val="5"/>
                <c:pt idx="0">
                  <c:v>75057</c:v>
                </c:pt>
                <c:pt idx="1">
                  <c:v>74697</c:v>
                </c:pt>
                <c:pt idx="2">
                  <c:v>74319</c:v>
                </c:pt>
                <c:pt idx="3">
                  <c:v>73968</c:v>
                </c:pt>
                <c:pt idx="4">
                  <c:v>73619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95"/>
        <c:gapDepth val="95"/>
        <c:shape val="box"/>
        <c:axId val="301427712"/>
        <c:axId val="378751808"/>
        <c:axId val="0"/>
      </c:bar3DChart>
      <c:catAx>
        <c:axId val="30142771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2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378751808"/>
        <c:crosses val="autoZero"/>
        <c:auto val="1"/>
        <c:lblAlgn val="ctr"/>
        <c:lblOffset val="100"/>
        <c:noMultiLvlLbl val="0"/>
      </c:catAx>
      <c:valAx>
        <c:axId val="378751808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301427712"/>
        <c:crosses val="autoZero"/>
        <c:crossBetween val="between"/>
      </c:valAx>
      <c:spPr>
        <a:noFill/>
        <a:ln w="25398">
          <a:noFill/>
        </a:ln>
      </c:spPr>
    </c:plotArea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4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Динамика</a:t>
            </a:r>
            <a:r>
              <a:rPr lang="ru-RU" sz="14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средней заработанной платы , руб</a:t>
            </a:r>
            <a:endParaRPr lang="ru-RU" sz="140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</c:title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spPr>
            <a:solidFill>
              <a:schemeClr val="accent5">
                <a:lumMod val="60000"/>
                <a:lumOff val="4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1.4195135056936781E-2"/>
                  <c:y val="-0.2962966608340624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0804968276603219E-2"/>
                  <c:y val="-0.2916666666666666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6666624537101403E-2"/>
                  <c:y val="-0.3148151793525809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8806806452564218E-2"/>
                  <c:y val="-0.3287037037037037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3.0555562577149767E-2"/>
                  <c:y val="-0.3425936862058909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398">
                <a:noFill/>
              </a:ln>
            </c:spPr>
            <c:txPr>
              <a:bodyPr/>
              <a:lstStyle/>
              <a:p>
                <a:pPr>
                  <a:defRPr sz="12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Лист5!$B$3:$B$7</c:f>
              <c:strCache>
                <c:ptCount val="5"/>
                <c:pt idx="0">
                  <c:v>2020 факт</c:v>
                </c:pt>
                <c:pt idx="1">
                  <c:v>2021 оценка</c:v>
                </c:pt>
                <c:pt idx="2">
                  <c:v>2022 прогноз</c:v>
                </c:pt>
                <c:pt idx="3">
                  <c:v>2023 прогноз</c:v>
                </c:pt>
                <c:pt idx="4">
                  <c:v>2024 прогноз</c:v>
                </c:pt>
              </c:strCache>
            </c:strRef>
          </c:cat>
          <c:val>
            <c:numRef>
              <c:f>Лист5!$C$3:$C$7</c:f>
              <c:numCache>
                <c:formatCode>#,##0.00</c:formatCode>
                <c:ptCount val="5"/>
                <c:pt idx="0">
                  <c:v>29854.65</c:v>
                </c:pt>
                <c:pt idx="1">
                  <c:v>29601.27</c:v>
                </c:pt>
                <c:pt idx="2">
                  <c:v>31991.75</c:v>
                </c:pt>
                <c:pt idx="3">
                  <c:v>34128.07</c:v>
                </c:pt>
                <c:pt idx="4">
                  <c:v>36175.75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95"/>
        <c:gapDepth val="95"/>
        <c:shape val="box"/>
        <c:axId val="301424640"/>
        <c:axId val="378755264"/>
        <c:axId val="0"/>
      </c:bar3DChart>
      <c:catAx>
        <c:axId val="30142464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2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378755264"/>
        <c:crosses val="autoZero"/>
        <c:auto val="1"/>
        <c:lblAlgn val="ctr"/>
        <c:lblOffset val="100"/>
        <c:noMultiLvlLbl val="0"/>
      </c:catAx>
      <c:valAx>
        <c:axId val="378755264"/>
        <c:scaling>
          <c:orientation val="minMax"/>
        </c:scaling>
        <c:delete val="1"/>
        <c:axPos val="l"/>
        <c:numFmt formatCode="#,##0.00" sourceLinked="1"/>
        <c:majorTickMark val="out"/>
        <c:minorTickMark val="none"/>
        <c:tickLblPos val="nextTo"/>
        <c:crossAx val="301424640"/>
        <c:crosses val="autoZero"/>
        <c:crossBetween val="between"/>
      </c:valAx>
      <c:spPr>
        <a:noFill/>
        <a:ln w="25398">
          <a:noFill/>
        </a:ln>
      </c:spPr>
    </c:plotArea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4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Уровень официально зарегистрированной безработицы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3.0555555555555555E-2"/>
          <c:y val="0.15729184893554973"/>
          <c:w val="0.93888888888888888"/>
          <c:h val="0.68969123651210262"/>
        </c:manualLayout>
      </c:layout>
      <c:barChart>
        <c:barDir val="col"/>
        <c:grouping val="stack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0"/>
                  <c:y val="-0.3425925925925926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5.0925337632079971E-17"/>
                  <c:y val="-0.19907407407407415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0"/>
                  <c:y val="-0.1944444444444445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5.5555555555555558E-3"/>
                  <c:y val="-0.18055555555555555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2.7779965004373435E-3"/>
                  <c:y val="-0.18981481481481491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397">
                <a:noFill/>
              </a:ln>
            </c:spPr>
            <c:txPr>
              <a:bodyPr/>
              <a:lstStyle/>
              <a:p>
                <a:pPr>
                  <a:defRPr sz="12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Лист6!$B$4:$B$8</c:f>
              <c:strCache>
                <c:ptCount val="5"/>
                <c:pt idx="0">
                  <c:v>2020 факт</c:v>
                </c:pt>
                <c:pt idx="1">
                  <c:v>2021 оценка</c:v>
                </c:pt>
                <c:pt idx="2">
                  <c:v>2022 прогноз</c:v>
                </c:pt>
                <c:pt idx="3">
                  <c:v>2023 прогноз</c:v>
                </c:pt>
                <c:pt idx="4">
                  <c:v>2024 прогноз</c:v>
                </c:pt>
              </c:strCache>
            </c:strRef>
          </c:cat>
          <c:val>
            <c:numRef>
              <c:f>Лист6!$C$4:$C$8</c:f>
              <c:numCache>
                <c:formatCode>#,##0.00</c:formatCode>
                <c:ptCount val="5"/>
                <c:pt idx="0">
                  <c:v>2.54</c:v>
                </c:pt>
                <c:pt idx="1">
                  <c:v>1.31</c:v>
                </c:pt>
                <c:pt idx="2">
                  <c:v>1.19</c:v>
                </c:pt>
                <c:pt idx="3">
                  <c:v>1.1499999999999999</c:v>
                </c:pt>
                <c:pt idx="4">
                  <c:v>1.1499999999999999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95"/>
        <c:overlap val="100"/>
        <c:axId val="477582848"/>
        <c:axId val="395968512"/>
      </c:barChart>
      <c:catAx>
        <c:axId val="47758284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395968512"/>
        <c:crosses val="autoZero"/>
        <c:auto val="1"/>
        <c:lblAlgn val="ctr"/>
        <c:lblOffset val="100"/>
        <c:noMultiLvlLbl val="0"/>
      </c:catAx>
      <c:valAx>
        <c:axId val="395968512"/>
        <c:scaling>
          <c:orientation val="minMax"/>
        </c:scaling>
        <c:delete val="1"/>
        <c:axPos val="l"/>
        <c:numFmt formatCode="#,##0.00" sourceLinked="1"/>
        <c:majorTickMark val="out"/>
        <c:minorTickMark val="none"/>
        <c:tickLblPos val="nextTo"/>
        <c:crossAx val="477582848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200"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64FC32-ED5F-41A3-B2E6-8425FBA72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2492</Words>
  <Characters>16310</Characters>
  <Application>Microsoft Office Word</Application>
  <DocSecurity>0</DocSecurity>
  <Lines>135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Ю. Голованова</dc:creator>
  <cp:lastModifiedBy>Мордовская Юлия Николаевна</cp:lastModifiedBy>
  <cp:revision>2</cp:revision>
  <dcterms:created xsi:type="dcterms:W3CDTF">2021-11-15T08:56:00Z</dcterms:created>
  <dcterms:modified xsi:type="dcterms:W3CDTF">2021-11-15T08:56:00Z</dcterms:modified>
</cp:coreProperties>
</file>