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DB3268">
        <w:t>7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826B43" w:rsidRDefault="001512D1" w:rsidP="00826B43">
      <w:pPr>
        <w:pStyle w:val="11"/>
        <w:ind w:firstLine="0"/>
        <w:jc w:val="right"/>
      </w:pPr>
      <w:r>
        <w:t xml:space="preserve"> </w:t>
      </w:r>
      <w:r w:rsidR="00826B43">
        <w:t xml:space="preserve">«О бюджете </w:t>
      </w:r>
      <w:proofErr w:type="spellStart"/>
      <w:r w:rsidR="00826B43">
        <w:t>Балахнинского</w:t>
      </w:r>
      <w:proofErr w:type="spellEnd"/>
      <w:r w:rsidR="00826B43">
        <w:t xml:space="preserve"> </w:t>
      </w:r>
    </w:p>
    <w:p w:rsidR="00826B43" w:rsidRDefault="00826B43" w:rsidP="00826B43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826B43" w:rsidRDefault="00826B43" w:rsidP="00826B43">
      <w:pPr>
        <w:pStyle w:val="11"/>
        <w:ind w:firstLine="0"/>
        <w:jc w:val="right"/>
      </w:pPr>
      <w:r>
        <w:t>и на плановый период 2024 и 2025 годов»</w:t>
      </w:r>
    </w:p>
    <w:p w:rsidR="00826B43" w:rsidRDefault="00826B43" w:rsidP="00826B43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1512D1" w:rsidRDefault="001512D1" w:rsidP="00826B43">
      <w:pPr>
        <w:pStyle w:val="11"/>
        <w:ind w:firstLine="0"/>
        <w:jc w:val="right"/>
      </w:pPr>
    </w:p>
    <w:p w:rsidR="001512D1" w:rsidRDefault="001512D1" w:rsidP="001512D1">
      <w:pPr>
        <w:pStyle w:val="11"/>
        <w:ind w:firstLine="0"/>
        <w:jc w:val="right"/>
      </w:pPr>
    </w:p>
    <w:p w:rsidR="00AF7ABF" w:rsidRPr="00AA2FE6" w:rsidRDefault="00AF7ABF" w:rsidP="00AF7ABF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:rsidR="00AF7ABF" w:rsidRDefault="00AF7ABF" w:rsidP="00AF7ABF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:rsidR="00AF7ABF" w:rsidRDefault="00AF7ABF" w:rsidP="00AF7ABF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:rsidR="00AF7ABF" w:rsidRPr="00AA2FE6" w:rsidRDefault="00AF7ABF" w:rsidP="00AF7ABF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:rsidR="00AF7ABF" w:rsidRDefault="00AF7ABF" w:rsidP="00AF7ABF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5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AF7ABF" w:rsidRPr="00AA2FE6" w:rsidRDefault="00AF7ABF" w:rsidP="00AF7ABF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</w:t>
      </w:r>
      <w:r>
        <w:rPr>
          <w:rFonts w:ascii="Times New Roman" w:hAnsi="Times New Roman"/>
          <w:sz w:val="28"/>
          <w:szCs w:val="28"/>
        </w:rPr>
        <w:t xml:space="preserve">контроля </w:t>
      </w:r>
      <w:r w:rsidRPr="00451EB4">
        <w:rPr>
          <w:rFonts w:ascii="Times New Roman" w:hAnsi="Times New Roman"/>
          <w:sz w:val="28"/>
          <w:szCs w:val="28"/>
        </w:rPr>
        <w:t>(мониторинга)</w:t>
      </w:r>
      <w:r>
        <w:rPr>
          <w:rFonts w:ascii="Times New Roman" w:hAnsi="Times New Roman"/>
          <w:sz w:val="28"/>
          <w:szCs w:val="28"/>
        </w:rPr>
        <w:t xml:space="preserve"> за соблюдением условий</w:t>
      </w:r>
      <w:r w:rsidRPr="00AA2FE6">
        <w:rPr>
          <w:rFonts w:ascii="Times New Roman" w:hAnsi="Times New Roman"/>
          <w:sz w:val="28"/>
          <w:szCs w:val="28"/>
        </w:rPr>
        <w:t xml:space="preserve"> и порядка предоставления субсидий и ответственности за их нарушение; </w:t>
      </w:r>
      <w:r>
        <w:rPr>
          <w:rFonts w:ascii="Times New Roman" w:hAnsi="Times New Roman"/>
          <w:sz w:val="28"/>
          <w:szCs w:val="28"/>
        </w:rPr>
        <w:t>требование</w:t>
      </w:r>
      <w:r w:rsidRPr="00AA2FE6">
        <w:rPr>
          <w:rFonts w:ascii="Times New Roman" w:hAnsi="Times New Roman"/>
          <w:sz w:val="28"/>
          <w:szCs w:val="28"/>
        </w:rPr>
        <w:t xml:space="preserve"> о проверке главным распорядителем бюджетных средств, предоставляющим субсидию, и органом муниципального финансового контроля соблюдения </w:t>
      </w:r>
      <w:r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Pr="00B27336">
        <w:rPr>
          <w:rFonts w:ascii="Times New Roman" w:hAnsi="Times New Roman"/>
          <w:sz w:val="28"/>
          <w:szCs w:val="28"/>
        </w:rPr>
        <w:t xml:space="preserve">порядка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A2FE6">
        <w:rPr>
          <w:rFonts w:ascii="Times New Roman" w:hAnsi="Times New Roman"/>
          <w:sz w:val="28"/>
          <w:szCs w:val="28"/>
        </w:rPr>
        <w:t>условий предоставления субсидий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51EB4">
        <w:rPr>
          <w:rFonts w:ascii="Times New Roman" w:hAnsi="Times New Roman"/>
          <w:sz w:val="28"/>
          <w:szCs w:val="28"/>
        </w:rPr>
        <w:t>в том числе в части достижения результатов предоставления субсидии</w:t>
      </w:r>
      <w:r w:rsidRPr="00AA2FE6">
        <w:rPr>
          <w:rFonts w:ascii="Times New Roman" w:hAnsi="Times New Roman"/>
          <w:sz w:val="28"/>
          <w:szCs w:val="28"/>
        </w:rPr>
        <w:t xml:space="preserve">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AF7ABF" w:rsidRPr="00AA2FE6" w:rsidRDefault="00AF7ABF" w:rsidP="00AF7ABF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:rsidR="00AF7ABF" w:rsidRDefault="00AF7ABF" w:rsidP="00AF7ABF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:rsidR="00AF7ABF" w:rsidRPr="00AA2FE6" w:rsidRDefault="00AF7ABF" w:rsidP="00AF7ABF">
      <w:pPr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6</w:t>
      </w:r>
      <w:r w:rsidRPr="00AA2FE6">
        <w:rPr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7</w:t>
      </w:r>
      <w:r w:rsidRPr="00AA2FE6">
        <w:rPr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8</w:t>
      </w:r>
      <w:r w:rsidRPr="00AA2FE6">
        <w:rPr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:rsidR="00AF7ABF" w:rsidRPr="00AA2FE6" w:rsidRDefault="00AF7ABF" w:rsidP="00AF7ABF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:rsidR="00AF7ABF" w:rsidRPr="00AA2FE6" w:rsidRDefault="00AF7ABF" w:rsidP="00AF7ABF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9</w:t>
      </w:r>
      <w:r w:rsidRPr="00AA2FE6">
        <w:rPr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AF7ABF" w:rsidRDefault="00AF7ABF" w:rsidP="00AF7ABF">
      <w:pPr>
        <w:rPr>
          <w:szCs w:val="28"/>
        </w:rPr>
      </w:pPr>
      <w:r w:rsidRPr="00AA2FE6">
        <w:rPr>
          <w:szCs w:val="28"/>
        </w:rPr>
        <w:t>1</w:t>
      </w:r>
      <w:r>
        <w:rPr>
          <w:szCs w:val="28"/>
        </w:rPr>
        <w:t>0</w:t>
      </w:r>
      <w:r w:rsidRPr="00AA2FE6">
        <w:rPr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:rsidR="00DB3268" w:rsidRDefault="00DB3268" w:rsidP="00DB3268">
      <w:pPr>
        <w:pStyle w:val="11"/>
        <w:jc w:val="right"/>
      </w:pPr>
      <w:bookmarkStart w:id="0" w:name="_GoBack"/>
      <w:bookmarkEnd w:id="0"/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5C1F65"/>
    <w:rsid w:val="00627C81"/>
    <w:rsid w:val="0065296B"/>
    <w:rsid w:val="00710B23"/>
    <w:rsid w:val="007E461A"/>
    <w:rsid w:val="00822DB2"/>
    <w:rsid w:val="00826B43"/>
    <w:rsid w:val="00A52698"/>
    <w:rsid w:val="00AF7ABF"/>
    <w:rsid w:val="00B673A8"/>
    <w:rsid w:val="00DB326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2023-02-15T06:28:00Z</dcterms:modified>
</cp:coreProperties>
</file>